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96"/>
        </w:rPr>
      </w:pPr>
    </w:p>
    <w:p>
      <w:pPr>
        <w:jc w:val="center"/>
        <w:rPr>
          <w:rFonts w:ascii="黑体" w:hAnsi="黑体" w:eastAsia="黑体"/>
          <w:sz w:val="96"/>
        </w:rPr>
      </w:pPr>
    </w:p>
    <w:p>
      <w:pPr>
        <w:jc w:val="center"/>
        <w:rPr>
          <w:rFonts w:ascii="黑体" w:hAnsi="黑体" w:eastAsia="黑体"/>
          <w:sz w:val="96"/>
        </w:rPr>
      </w:pPr>
    </w:p>
    <w:p>
      <w:pPr>
        <w:jc w:val="center"/>
        <w:rPr>
          <w:rFonts w:ascii="黑体" w:hAnsi="黑体" w:eastAsia="黑体"/>
          <w:sz w:val="96"/>
        </w:rPr>
      </w:pPr>
      <w:r>
        <w:rPr>
          <w:rFonts w:hint="eastAsia" w:ascii="黑体" w:hAnsi="黑体" w:eastAsia="黑体"/>
          <w:sz w:val="96"/>
        </w:rPr>
        <w:t>事前绩效评估报告</w:t>
      </w: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hint="eastAsia" w:ascii="黑体" w:hAnsi="黑体" w:eastAsia="黑体"/>
          <w:sz w:val="32"/>
        </w:rPr>
      </w:pPr>
    </w:p>
    <w:p>
      <w:pPr>
        <w:rPr>
          <w:rFonts w:ascii="黑体" w:hAnsi="黑体" w:eastAsia="黑体"/>
          <w:sz w:val="32"/>
        </w:rPr>
      </w:pPr>
    </w:p>
    <w:p>
      <w:pPr>
        <w:ind w:left="2560" w:hanging="2560" w:hangingChars="800"/>
        <w:rPr>
          <w:rFonts w:ascii="黑体" w:hAnsi="黑体" w:eastAsia="黑体"/>
          <w:sz w:val="32"/>
        </w:rPr>
      </w:pPr>
      <w:r>
        <w:rPr>
          <w:rFonts w:hint="eastAsia" w:ascii="黑体" w:hAnsi="黑体" w:eastAsia="黑体"/>
          <w:sz w:val="32"/>
        </w:rPr>
        <w:t>项  目  名  称：寿县应急指挥信息平台建设项目</w:t>
      </w:r>
    </w:p>
    <w:p>
      <w:pPr>
        <w:rPr>
          <w:rFonts w:ascii="黑体" w:hAnsi="黑体" w:eastAsia="黑体"/>
          <w:sz w:val="32"/>
        </w:rPr>
      </w:pPr>
      <w:r>
        <w:rPr>
          <w:rFonts w:hint="eastAsia" w:ascii="黑体" w:hAnsi="黑体" w:eastAsia="黑体"/>
          <w:sz w:val="32"/>
        </w:rPr>
        <w:t>单位名称（章）： 寿县公安局</w:t>
      </w:r>
    </w:p>
    <w:p>
      <w:pPr>
        <w:rPr>
          <w:rFonts w:ascii="黑体" w:hAnsi="黑体" w:eastAsia="黑体"/>
          <w:sz w:val="32"/>
        </w:rPr>
      </w:pPr>
      <w:r>
        <w:rPr>
          <w:rFonts w:hint="eastAsia" w:ascii="黑体" w:hAnsi="黑体" w:eastAsia="黑体"/>
          <w:sz w:val="32"/>
        </w:rPr>
        <w:t>主  管  部  门：寿县公安局</w:t>
      </w:r>
    </w:p>
    <w:p>
      <w:pPr>
        <w:rPr>
          <w:rFonts w:ascii="黑体" w:hAnsi="黑体" w:eastAsia="黑体"/>
          <w:sz w:val="32"/>
        </w:rPr>
      </w:pPr>
      <w:r>
        <w:rPr>
          <w:rFonts w:hint="eastAsia" w:ascii="黑体" w:hAnsi="黑体" w:eastAsia="黑体"/>
          <w:sz w:val="32"/>
        </w:rPr>
        <w:t>评  估  日  期：2023年</w:t>
      </w:r>
      <w:r>
        <w:rPr>
          <w:rFonts w:ascii="黑体" w:hAnsi="黑体" w:eastAsia="黑体"/>
          <w:sz w:val="32"/>
        </w:rPr>
        <w:t>10</w:t>
      </w:r>
      <w:r>
        <w:rPr>
          <w:rFonts w:hint="eastAsia" w:ascii="黑体" w:hAnsi="黑体" w:eastAsia="黑体"/>
          <w:sz w:val="32"/>
        </w:rPr>
        <w:t>月9日</w:t>
      </w:r>
    </w:p>
    <w:p/>
    <w:p/>
    <w:p/>
    <w:p>
      <w:pPr>
        <w:widowControl/>
        <w:jc w:val="left"/>
        <w:rPr>
          <w:rFonts w:ascii="方正小标宋简体" w:hAnsi="方正小标宋简体" w:eastAsia="方正小标宋简体"/>
          <w:bCs/>
          <w:color w:val="000000"/>
          <w:sz w:val="44"/>
          <w:szCs w:val="44"/>
        </w:rPr>
      </w:pPr>
      <w:r>
        <w:rPr>
          <w:rFonts w:ascii="方正小标宋简体" w:hAnsi="方正小标宋简体" w:eastAsia="方正小标宋简体"/>
          <w:bCs/>
          <w:color w:val="000000"/>
          <w:sz w:val="44"/>
          <w:szCs w:val="44"/>
        </w:rPr>
        <w:br w:type="page"/>
      </w:r>
    </w:p>
    <w:p>
      <w:pPr>
        <w:jc w:val="center"/>
        <w:rPr>
          <w:rFonts w:ascii="Arial" w:hAnsi="Arial" w:cs="Arial"/>
          <w:color w:val="333333"/>
          <w:sz w:val="30"/>
          <w:szCs w:val="30"/>
          <w:shd w:val="clear" w:color="auto" w:fill="FFFFFF"/>
        </w:rPr>
      </w:pPr>
      <w:r>
        <w:rPr>
          <w:rFonts w:hint="eastAsia" w:ascii="方正小标宋简体" w:hAnsi="方正小标宋简体" w:eastAsia="方正小标宋简体"/>
          <w:bCs/>
          <w:color w:val="000000"/>
          <w:sz w:val="44"/>
          <w:szCs w:val="44"/>
        </w:rPr>
        <w:t>财政支出项目预算评审报告</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根据项目预算编制有关要求，我单位于2023年</w:t>
      </w:r>
      <w:r>
        <w:rPr>
          <w:rFonts w:ascii="仿宋_GB2312" w:hAnsi="Arial" w:eastAsia="仿宋_GB2312" w:cs="Arial"/>
          <w:color w:val="333333"/>
          <w:sz w:val="32"/>
          <w:szCs w:val="32"/>
          <w:shd w:val="clear" w:color="auto" w:fill="FFFFFF"/>
        </w:rPr>
        <w:t>10</w:t>
      </w:r>
      <w:r>
        <w:rPr>
          <w:rFonts w:hint="eastAsia" w:ascii="仿宋_GB2312" w:hAnsi="Arial" w:eastAsia="仿宋_GB2312" w:cs="Arial"/>
          <w:color w:val="333333"/>
          <w:sz w:val="32"/>
          <w:szCs w:val="32"/>
          <w:shd w:val="clear" w:color="auto" w:fill="FFFFFF"/>
        </w:rPr>
        <w:t>月</w:t>
      </w:r>
      <w:r>
        <w:rPr>
          <w:rFonts w:ascii="仿宋_GB2312" w:hAnsi="Arial" w:eastAsia="仿宋_GB2312" w:cs="Arial"/>
          <w:color w:val="333333"/>
          <w:sz w:val="32"/>
          <w:szCs w:val="32"/>
          <w:shd w:val="clear" w:color="auto" w:fill="FFFFFF"/>
        </w:rPr>
        <w:t>7</w:t>
      </w:r>
      <w:r>
        <w:rPr>
          <w:rFonts w:hint="eastAsia" w:ascii="仿宋_GB2312" w:hAnsi="Arial" w:eastAsia="仿宋_GB2312" w:cs="Arial"/>
          <w:color w:val="333333"/>
          <w:sz w:val="32"/>
          <w:szCs w:val="32"/>
          <w:shd w:val="clear" w:color="auto" w:fill="FFFFFF"/>
        </w:rPr>
        <w:t>日至2023年</w:t>
      </w:r>
      <w:r>
        <w:rPr>
          <w:rFonts w:ascii="仿宋_GB2312" w:hAnsi="Arial" w:eastAsia="仿宋_GB2312" w:cs="Arial"/>
          <w:color w:val="333333"/>
          <w:sz w:val="32"/>
          <w:szCs w:val="32"/>
          <w:shd w:val="clear" w:color="auto" w:fill="FFFFFF"/>
        </w:rPr>
        <w:t>10</w:t>
      </w:r>
      <w:r>
        <w:rPr>
          <w:rFonts w:hint="eastAsia" w:ascii="仿宋_GB2312" w:hAnsi="Arial" w:eastAsia="仿宋_GB2312" w:cs="Arial"/>
          <w:color w:val="333333"/>
          <w:sz w:val="32"/>
          <w:szCs w:val="32"/>
          <w:shd w:val="clear" w:color="auto" w:fill="FFFFFF"/>
        </w:rPr>
        <w:t>月</w:t>
      </w:r>
      <w:r>
        <w:rPr>
          <w:rFonts w:ascii="仿宋_GB2312" w:hAnsi="Arial" w:eastAsia="仿宋_GB2312" w:cs="Arial"/>
          <w:color w:val="333333"/>
          <w:sz w:val="32"/>
          <w:szCs w:val="32"/>
          <w:shd w:val="clear" w:color="auto" w:fill="FFFFFF"/>
        </w:rPr>
        <w:t>9</w:t>
      </w:r>
      <w:r>
        <w:rPr>
          <w:rFonts w:hint="eastAsia" w:ascii="仿宋_GB2312" w:hAnsi="Arial" w:eastAsia="仿宋_GB2312" w:cs="Arial"/>
          <w:color w:val="333333"/>
          <w:sz w:val="32"/>
          <w:szCs w:val="32"/>
          <w:shd w:val="clear" w:color="auto" w:fill="FFFFFF"/>
        </w:rPr>
        <w:t>日对寿县应急指挥信息平台建设项目进行了预算评审。依据国家法律、法规和有关规定，本着客观、公正的原则，对项目的立项情况、项目建设的依据性和必要性、项目建设投资内容进行了评审，对相关工程量进行了现场踏勘、复核、单价计算等，现将评审情况报告如下：</w:t>
      </w:r>
    </w:p>
    <w:p>
      <w:pPr>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一、评估对象</w:t>
      </w:r>
    </w:p>
    <w:p>
      <w:pPr>
        <w:ind w:firstLine="643"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(一)项目名称:</w:t>
      </w:r>
      <w:r>
        <w:rPr>
          <w:rFonts w:hint="eastAsia" w:ascii="仿宋_GB2312" w:hAnsi="Arial" w:eastAsia="仿宋_GB2312" w:cs="Arial"/>
          <w:color w:val="333333"/>
          <w:sz w:val="32"/>
          <w:szCs w:val="32"/>
          <w:shd w:val="clear" w:color="auto" w:fill="FFFFFF"/>
        </w:rPr>
        <w:t xml:space="preserve"> 寿县应急指挥信息平台建设项目。</w:t>
      </w:r>
    </w:p>
    <w:p>
      <w:pPr>
        <w:ind w:firstLine="643"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(二)项目绩效目标:</w:t>
      </w:r>
      <w:r>
        <w:rPr>
          <w:rFonts w:hint="eastAsia" w:ascii="仿宋_GB2312" w:hAnsi="Arial" w:eastAsia="仿宋_GB2312" w:cs="Arial"/>
          <w:color w:val="333333"/>
          <w:sz w:val="32"/>
          <w:szCs w:val="32"/>
          <w:shd w:val="clear" w:color="auto" w:fill="FFFFFF"/>
        </w:rPr>
        <w:t xml:space="preserve"> 为了实现寿县视频资源的综合利用，实现视频与各委办局各乡镇实际业务的有效高效融合，助力各项业务工作的实际落地与智能化的提升，同时进一步提升视频资源的联网整合、智能分析、开放共享、统筹规划能力。运用数字技术促进各部门业务流程再造和制度重塑，从事后发现问题提升为实时发现问题，有利于促进行政行为的实时监督、闭环反馈。建立“用数据说话、用数据决策、用数据管理、用数据服务”的社会治理机制，为破解社会难题提供重要工具和有效手段，赋能社会治理更加智慧科学，促进社会治理体系现代化。因此急需开展寿县应急指挥信息平台建设。</w:t>
      </w:r>
    </w:p>
    <w:p>
      <w:pPr>
        <w:ind w:firstLine="643"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(三)项目资金构成:</w:t>
      </w:r>
      <w:r>
        <w:rPr>
          <w:rFonts w:hint="eastAsia"/>
        </w:rPr>
        <w:t xml:space="preserve"> </w:t>
      </w:r>
      <w:r>
        <w:rPr>
          <w:rFonts w:hint="eastAsia" w:ascii="仿宋_GB2312" w:hAnsi="仿宋_GB2312" w:eastAsia="仿宋_GB2312" w:cs="仿宋_GB2312"/>
          <w:kern w:val="2"/>
          <w:sz w:val="32"/>
          <w:szCs w:val="32"/>
          <w:lang w:val="en-US" w:eastAsia="zh-CN" w:bidi="ar-SA"/>
        </w:rPr>
        <w:t>本项目资金预算为2898.84万元（以政府购买服务方式），县财政分三年付款</w:t>
      </w:r>
      <w:r>
        <w:rPr>
          <w:rFonts w:hint="eastAsia" w:ascii="仿宋_GB2312" w:hAnsi="Arial" w:eastAsia="仿宋_GB2312" w:cs="Arial"/>
          <w:color w:val="333333"/>
          <w:sz w:val="32"/>
          <w:szCs w:val="32"/>
          <w:shd w:val="clear" w:color="auto" w:fill="FFFFFF"/>
        </w:rPr>
        <w:t>。</w:t>
      </w:r>
    </w:p>
    <w:p>
      <w:pPr>
        <w:ind w:firstLine="643" w:firstLineChars="200"/>
        <w:rPr>
          <w:rFonts w:hint="eastAsia" w:ascii="仿宋_GB2312" w:hAnsi="仿宋_GB2312" w:eastAsia="仿宋_GB2312" w:cs="仿宋_GB2312"/>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(四)项目概况:</w:t>
      </w:r>
      <w:r>
        <w:rPr>
          <w:rFonts w:hint="eastAsia" w:ascii="仿宋_GB2312" w:hAnsi="Arial" w:eastAsia="仿宋_GB2312" w:cs="Arial"/>
          <w:color w:val="333333"/>
          <w:sz w:val="32"/>
          <w:szCs w:val="32"/>
          <w:shd w:val="clear" w:color="auto" w:fill="FFFFFF"/>
        </w:rPr>
        <w:t xml:space="preserve"> 寿县应急指挥信息平台建设项目</w:t>
      </w:r>
      <w:r>
        <w:rPr>
          <w:rFonts w:hint="eastAsia" w:ascii="仿宋_GB2312" w:hAnsi="仿宋_GB2312" w:eastAsia="仿宋_GB2312" w:cs="仿宋_GB2312"/>
          <w:color w:val="333333"/>
          <w:sz w:val="32"/>
          <w:szCs w:val="32"/>
          <w:shd w:val="clear" w:color="auto" w:fill="FFFFFF"/>
        </w:rPr>
        <w:t>以已建视频为基础、安全隐私为前提、监督治理为目标、持续运营为支撑、标准规范为保障，对整个系统“提档升级”—提升视频由人工监控转向智能监控，升级信息化</w:t>
      </w:r>
      <w:r>
        <w:rPr>
          <w:rFonts w:hint="eastAsia" w:ascii="仿宋_GB2312" w:hAnsi="仿宋_GB2312" w:eastAsia="仿宋_GB2312" w:cs="仿宋_GB2312"/>
          <w:color w:val="333333"/>
          <w:sz w:val="32"/>
          <w:szCs w:val="32"/>
          <w:shd w:val="clear" w:color="auto" w:fill="FFFFFF"/>
          <w:lang w:eastAsia="zh-CN"/>
        </w:rPr>
        <w:t>平台</w:t>
      </w:r>
      <w:r>
        <w:rPr>
          <w:rFonts w:hint="eastAsia" w:ascii="仿宋_GB2312" w:hAnsi="仿宋_GB2312" w:eastAsia="仿宋_GB2312" w:cs="仿宋_GB2312"/>
          <w:color w:val="333333"/>
          <w:sz w:val="32"/>
          <w:szCs w:val="32"/>
          <w:shd w:val="clear" w:color="auto" w:fill="FFFFFF"/>
        </w:rPr>
        <w:t>为</w:t>
      </w:r>
      <w:r>
        <w:rPr>
          <w:rFonts w:hint="eastAsia" w:ascii="仿宋_GB2312" w:hAnsi="仿宋_GB2312" w:eastAsia="仿宋_GB2312" w:cs="仿宋_GB2312"/>
          <w:color w:val="333333"/>
          <w:sz w:val="32"/>
          <w:szCs w:val="32"/>
          <w:shd w:val="clear" w:color="auto" w:fill="FFFFFF"/>
          <w:lang w:val="en-US" w:eastAsia="zh-CN"/>
        </w:rPr>
        <w:t>数字</w:t>
      </w:r>
      <w:r>
        <w:rPr>
          <w:rFonts w:hint="eastAsia" w:ascii="仿宋_GB2312" w:hAnsi="仿宋_GB2312" w:eastAsia="仿宋_GB2312" w:cs="仿宋_GB2312"/>
          <w:color w:val="333333"/>
          <w:sz w:val="32"/>
          <w:szCs w:val="32"/>
          <w:shd w:val="clear" w:color="auto" w:fill="FFFFFF"/>
        </w:rPr>
        <w:t>化平台，确保系统的先进性和实用性。</w:t>
      </w:r>
      <w:r>
        <w:rPr>
          <w:rFonts w:hint="eastAsia" w:ascii="仿宋_GB2312" w:hAnsi="仿宋_GB2312" w:eastAsia="仿宋_GB2312" w:cs="仿宋_GB2312"/>
          <w:kern w:val="2"/>
          <w:sz w:val="32"/>
          <w:szCs w:val="32"/>
          <w:lang w:val="en-US" w:eastAsia="zh-CN" w:bidi="ar-SA"/>
        </w:rPr>
        <w:t>本项目主要面向县直部门和乡镇业务管理需要，涵盖</w:t>
      </w:r>
      <w:r>
        <w:rPr>
          <w:rFonts w:hint="eastAsia" w:ascii="仿宋_GB2312" w:hAnsi="仿宋_GB2312" w:eastAsia="仿宋_GB2312" w:cs="仿宋_GB2312"/>
          <w:kern w:val="2"/>
          <w:sz w:val="32"/>
          <w:szCs w:val="32"/>
          <w:highlight w:val="yellow"/>
          <w:lang w:val="en-US" w:eastAsia="zh-CN" w:bidi="ar-SA"/>
        </w:rPr>
        <w:t>秸秆禁烧、森林防火、耕地保护、环保监管、河道湖泊管理及治安防范</w:t>
      </w:r>
      <w:r>
        <w:rPr>
          <w:rFonts w:hint="eastAsia" w:ascii="仿宋_GB2312" w:hAnsi="仿宋_GB2312" w:eastAsia="仿宋_GB2312" w:cs="仿宋_GB2312"/>
          <w:kern w:val="2"/>
          <w:sz w:val="32"/>
          <w:szCs w:val="32"/>
          <w:lang w:val="en-US" w:eastAsia="zh-CN" w:bidi="ar-SA"/>
        </w:rPr>
        <w:t>等多个领域，解决前期各乡镇和部门已建成高空视频监控利用不足、人工值守费时费力，数据利用程度不高、业务协同弱等问题，通过对现有多视合一平台进行升级改造，整合现有乡镇蓝天卫士的铁塔高空监控和人防办防护重点经济目标的高低空监控四百多路；对部分监控盲区进行补充，</w:t>
      </w:r>
      <w:r>
        <w:rPr>
          <w:rFonts w:hint="eastAsia" w:ascii="仿宋_GB2312" w:hAnsi="仿宋_GB2312" w:eastAsia="仿宋_GB2312" w:cs="仿宋_GB2312"/>
          <w:color w:val="333333"/>
          <w:sz w:val="32"/>
          <w:szCs w:val="32"/>
          <w:shd w:val="clear" w:color="auto" w:fill="FFFFFF"/>
        </w:rPr>
        <w:t>新建公安监控低点监控500路，新建环保水利砂石低点监控19路，新建铁塔高点监控94路</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对已有部分高点监控进行升级改造，改造铁塔高点监控67路。围绕</w:t>
      </w:r>
      <w:r>
        <w:rPr>
          <w:rFonts w:hint="eastAsia" w:ascii="仿宋_GB2312" w:hAnsi="仿宋_GB2312" w:eastAsia="仿宋_GB2312" w:cs="仿宋_GB2312"/>
          <w:kern w:val="2"/>
          <w:sz w:val="32"/>
          <w:szCs w:val="32"/>
          <w:highlight w:val="yellow"/>
          <w:lang w:val="en-US" w:eastAsia="zh-CN" w:bidi="ar-SA"/>
        </w:rPr>
        <w:t>秸秆禁烧、森林防火、</w:t>
      </w:r>
      <w:r>
        <w:rPr>
          <w:rFonts w:hint="eastAsia" w:ascii="仿宋_GB2312" w:hAnsi="仿宋_GB2312" w:eastAsia="仿宋_GB2312" w:cs="仿宋_GB2312"/>
          <w:color w:val="333333"/>
          <w:sz w:val="32"/>
          <w:szCs w:val="32"/>
          <w:shd w:val="clear" w:color="auto" w:fill="FFFFFF"/>
        </w:rPr>
        <w:t>公共安全、耕地保护、环保监管、河道湖泊等领域，提供城市级视频数据和政务数据融合能力；支撑跨部门、跨层级、跨区域、跨系统的融合性创新应用。建设周期6个月。</w:t>
      </w:r>
    </w:p>
    <w:p>
      <w:pPr>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二、事前绩效评估的基本情况</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(一)评估程序。</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寿县公安局组织召开了项目事前绩效评估，主要采用了专家论证法及类似项目借鉴法，充分的分析了项目的必要性、经济性、目标合理性、可行性、合规性。通过</w:t>
      </w:r>
      <w:r>
        <w:rPr>
          <w:rFonts w:hint="eastAsia" w:ascii="仿宋_GB2312" w:hAnsi="Arial" w:eastAsia="仿宋_GB2312" w:cs="Arial"/>
          <w:color w:val="333333"/>
          <w:sz w:val="32"/>
          <w:szCs w:val="32"/>
          <w:shd w:val="clear" w:color="auto" w:fill="FFFFFF"/>
        </w:rPr>
        <w:t>全面收集与被评估政策和项目有关的数据和资料，专家组对照评估方案中内容，对政策和项目立项必要性、投入经济性、绩效目标合理性、实施方案可行性、筹资合规性等情况进行综合评判。</w:t>
      </w:r>
      <w:r>
        <w:rPr>
          <w:rFonts w:hint="eastAsia" w:ascii="Times New Roman" w:hAnsi="Times New Roman" w:eastAsia="仿宋_GB2312"/>
          <w:color w:val="000000"/>
          <w:sz w:val="32"/>
          <w:szCs w:val="32"/>
        </w:rPr>
        <w:t>最终一致通过项目事前绩效评估。</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(二)评估思路。</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本次评估主要依据《中共寿县县委寿县人民政府关于全面实施预算绩效管理的落实意见》(寿发[2019]20号)以及《寿县县级政策和项目事前绩效评估管理暂行办法》(寿发[2021]39号)等相关规定执行，</w:t>
      </w:r>
      <w:r>
        <w:rPr>
          <w:rFonts w:hint="eastAsia" w:ascii="仿宋_GB2312" w:hAnsi="Arial" w:eastAsia="仿宋_GB2312" w:cs="Arial"/>
          <w:color w:val="333333"/>
          <w:sz w:val="32"/>
          <w:szCs w:val="32"/>
          <w:shd w:val="clear" w:color="auto" w:fill="FFFFFF"/>
          <w:lang w:eastAsia="zh-CN"/>
        </w:rPr>
        <w:t>运用</w:t>
      </w:r>
      <w:r>
        <w:rPr>
          <w:rFonts w:hint="eastAsia" w:ascii="仿宋_GB2312" w:hAnsi="Arial" w:eastAsia="仿宋_GB2312" w:cs="Arial"/>
          <w:color w:val="333333"/>
          <w:sz w:val="32"/>
          <w:szCs w:val="32"/>
          <w:shd w:val="clear" w:color="auto" w:fill="FFFFFF"/>
        </w:rPr>
        <w:t>科学、合理的评估方法，对政策或项目立项必要性、投入经济性、绩效目标合理性、实施方案可行性、筹资和规定等进行客观、公正的评估。</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(三)评估方式、方法。</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1、评估方式</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本次评估采用专家咨询的方式邀请相关领域专家参与事前评估，对专业问题给予咨询建议及指导。</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2、评估方法</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本次事前评估方法采用因素分析法、公众评判法、文献法等。</w:t>
      </w:r>
    </w:p>
    <w:p>
      <w:pPr>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三、评估内容和结论</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(一)立项必要性。</w:t>
      </w:r>
    </w:p>
    <w:p>
      <w:pPr>
        <w:ind w:firstLine="640" w:firstLineChars="200"/>
        <w:rPr>
          <w:rFonts w:ascii="仿宋_GB2312" w:hAnsi="宋体" w:eastAsia="仿宋_GB2312"/>
          <w:sz w:val="32"/>
          <w:szCs w:val="28"/>
        </w:rPr>
      </w:pPr>
      <w:r>
        <w:rPr>
          <w:rFonts w:hint="eastAsia" w:ascii="仿宋_GB2312" w:hAnsi="宋体" w:eastAsia="仿宋_GB2312"/>
          <w:sz w:val="32"/>
          <w:szCs w:val="28"/>
        </w:rPr>
        <w:t>目前寿县整个视频监控与各个委办局的业务各自独立，无法统筹管理，数字化治理水平不高，无法实现智能化的监测手段，造成事件发现不及时，处置效率不高、人力成本过高，故此通过</w:t>
      </w:r>
      <w:r>
        <w:rPr>
          <w:rFonts w:hint="eastAsia" w:ascii="仿宋_GB2312" w:hAnsi="Arial" w:eastAsia="仿宋_GB2312" w:cs="Arial"/>
          <w:color w:val="333333"/>
          <w:sz w:val="32"/>
          <w:szCs w:val="32"/>
          <w:shd w:val="clear" w:color="auto" w:fill="FFFFFF"/>
        </w:rPr>
        <w:t>寿县应急指挥信息平台建设</w:t>
      </w:r>
      <w:r>
        <w:rPr>
          <w:rFonts w:hint="eastAsia" w:ascii="仿宋_GB2312" w:hAnsi="宋体" w:eastAsia="仿宋_GB2312"/>
          <w:sz w:val="32"/>
          <w:szCs w:val="28"/>
        </w:rPr>
        <w:t>，进行集约化的管理视频，并加载人工智能视频监测能力，赋能寿县现代化</w:t>
      </w:r>
      <w:r>
        <w:rPr>
          <w:rFonts w:hint="eastAsia" w:ascii="仿宋_GB2312" w:hAnsi="宋体" w:eastAsia="仿宋_GB2312"/>
          <w:sz w:val="32"/>
          <w:szCs w:val="28"/>
          <w:lang w:eastAsia="zh-CN"/>
        </w:rPr>
        <w:t>数字化</w:t>
      </w:r>
      <w:r>
        <w:rPr>
          <w:rFonts w:hint="eastAsia" w:ascii="仿宋_GB2312" w:hAnsi="宋体" w:eastAsia="仿宋_GB2312"/>
          <w:sz w:val="32"/>
          <w:szCs w:val="28"/>
        </w:rPr>
        <w:t>城市治理的能力，非常</w:t>
      </w:r>
      <w:r>
        <w:rPr>
          <w:rFonts w:hint="eastAsia" w:ascii="仿宋_GB2312" w:hAnsi="宋体" w:eastAsia="仿宋_GB2312"/>
          <w:sz w:val="32"/>
          <w:szCs w:val="28"/>
          <w:lang w:eastAsia="zh-CN"/>
        </w:rPr>
        <w:t>有</w:t>
      </w:r>
      <w:r>
        <w:rPr>
          <w:rFonts w:hint="eastAsia" w:ascii="仿宋_GB2312" w:hAnsi="宋体" w:eastAsia="仿宋_GB2312"/>
          <w:sz w:val="32"/>
          <w:szCs w:val="28"/>
        </w:rPr>
        <w:t>建设必要。</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(二)绩效目标合理性。</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经评估，该项目政策和项目绩效目标明确，与公安部“十四五”规划及计划相符，与现实寿县实际需求相匹配，绩效指标已细化、量化、可衡量，指标值合理。</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(三)投入经济性</w:t>
      </w:r>
    </w:p>
    <w:p>
      <w:pPr>
        <w:ind w:firstLine="640" w:firstLineChars="200"/>
        <w:rPr>
          <w:rFonts w:hint="eastAsia" w:ascii="仿宋_GB2312" w:hAnsi="Arial" w:eastAsia="仿宋_GB2312" w:cs="Arial"/>
          <w:b w:val="0"/>
          <w:bCs w:val="0"/>
          <w:color w:val="333333"/>
          <w:sz w:val="32"/>
          <w:szCs w:val="32"/>
          <w:shd w:val="clear" w:color="auto" w:fill="FFFFFF"/>
        </w:rPr>
      </w:pPr>
      <w:r>
        <w:rPr>
          <w:rFonts w:hint="eastAsia" w:ascii="仿宋_GB2312" w:hAnsi="Arial" w:eastAsia="仿宋_GB2312" w:cs="Arial"/>
          <w:b w:val="0"/>
          <w:bCs w:val="0"/>
          <w:color w:val="333333"/>
          <w:sz w:val="32"/>
          <w:szCs w:val="32"/>
          <w:shd w:val="clear" w:color="auto" w:fill="FFFFFF"/>
        </w:rPr>
        <w:t>项目投入成本与预期产出及效果基本匹配，测算以及较充分，应进一步细化测算，补充完善成本控制措施，补充预算说明，细化预算金额，另外费用需采用政府采购服务方式完成。</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(四)实施方案可行性</w:t>
      </w:r>
    </w:p>
    <w:p>
      <w:pPr>
        <w:ind w:firstLine="640" w:firstLineChars="200"/>
        <w:rPr>
          <w:rFonts w:ascii="仿宋_GB2312" w:hAnsi="Arial" w:eastAsia="仿宋_GB2312" w:cs="Arial"/>
          <w:color w:val="333333"/>
          <w:sz w:val="32"/>
          <w:szCs w:val="32"/>
          <w:shd w:val="clear" w:color="auto" w:fill="FFFFFF"/>
        </w:rPr>
      </w:pPr>
      <w:r>
        <w:rPr>
          <w:rFonts w:hint="eastAsia" w:ascii="Times New Roman" w:hAnsi="Times New Roman" w:eastAsia="仿宋_GB2312"/>
          <w:color w:val="000000"/>
          <w:sz w:val="32"/>
          <w:szCs w:val="32"/>
        </w:rPr>
        <w:t>经评估，政策和项目基础保障条件已具备，完成时限科学合理，风险可控。</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(五)筹资合规性</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资金来源符合相关固定，资金支出方式较合理，风险可控。</w:t>
      </w:r>
    </w:p>
    <w:p>
      <w:pPr>
        <w:ind w:firstLine="643" w:firstLineChars="200"/>
        <w:rPr>
          <w:rFonts w:ascii="仿宋_GB2312" w:hAnsi="Arial" w:eastAsia="仿宋_GB2312" w:cs="Arial"/>
          <w:b/>
          <w:bCs/>
          <w:color w:val="333333"/>
          <w:sz w:val="32"/>
          <w:szCs w:val="32"/>
          <w:shd w:val="clear" w:color="auto" w:fill="FFFFFF"/>
        </w:rPr>
      </w:pPr>
      <w:r>
        <w:rPr>
          <w:rFonts w:hint="eastAsia" w:ascii="仿宋_GB2312" w:hAnsi="Arial" w:eastAsia="仿宋_GB2312" w:cs="Arial"/>
          <w:b/>
          <w:bCs/>
          <w:color w:val="333333"/>
          <w:sz w:val="32"/>
          <w:szCs w:val="32"/>
          <w:shd w:val="clear" w:color="auto" w:fill="FFFFFF"/>
        </w:rPr>
        <w:t>(六)总体结论。</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多视合一监管平台升级改造项目的建设，可以有效降低执法人员工作强度和执法成本，有效提升</w:t>
      </w:r>
      <w:r>
        <w:rPr>
          <w:rFonts w:hint="eastAsia" w:ascii="仿宋_GB2312" w:hAnsi="仿宋_GB2312" w:eastAsia="仿宋_GB2312" w:cs="仿宋_GB2312"/>
          <w:kern w:val="2"/>
          <w:sz w:val="32"/>
          <w:szCs w:val="32"/>
          <w:highlight w:val="yellow"/>
          <w:lang w:val="en-US" w:eastAsia="zh-CN" w:bidi="ar-SA"/>
        </w:rPr>
        <w:t>秸秆禁烧、森林防火、</w:t>
      </w:r>
      <w:r>
        <w:rPr>
          <w:rFonts w:hint="eastAsia" w:ascii="Times New Roman" w:hAnsi="Times New Roman" w:eastAsia="仿宋_GB2312"/>
          <w:color w:val="000000"/>
          <w:sz w:val="32"/>
          <w:szCs w:val="32"/>
        </w:rPr>
        <w:t>耕地保护、环保督察、河道湖泊管理及治安防范等领域技防能力，提升一线人员应急反应能力。建立“用数据说话、用数据决策、用数据管理、用数据服务”的社会治理机制，为破解社会难题提供重要工具和有效手段，赋能社会治理更加智慧科学，促进社会治理体系现代化。主要体现在以下几个方面：</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针对全县秸秆焚烧工作，视频监控系统可以对农业作业区、旅游景区等重要区域进行实时监控，通过系统自动识别方式发现焚烧行为，通知相关人员及时赶到现场进行处理，避免对环境造成不良影响。为环境保护工作提供了数据支持和科学决策依据，为提供良好的生态环境发挥积极作用。</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通过平台及时将预警信息推送至一线人员，平台可以通过对监控视频的智能分析，及时发现耕地保护区域内的违规行为，如非法占用、破坏耕地等，并向相关人员发出预警信息。一线工作人员可以在第一时间了解到情况，并及时赶到现场进行处理，有效防止了对耕地的进一步破坏。为牢牢守住耕地保护红线发挥积极作用。</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智能识别，减轻一线工作人员巡查压力。通过智能识别技术，可以减轻一线工作人员的巡查压力，提高工作效率和准确性。例如识别是否有违规采砂、违法占地、未批先建、违规停车、烟火等异常情况，然后自动报警或处理，避免了工作人员需要长时间盯着监控屏幕进行人工巡查的压力。此外，还可以对监控区域的人群密度、人员身份等进行智能分析，及时发现异常情况并报警，提高了监管水平和安全保障能力。</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（4）降低执法人员工作强度和执法成本。本项目的建设能够有效降低执法人员工作强度，提高执法人员工作效率；快速发现违法行为，降低执法成本。</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（5）提高管理和社会服务水平。数据可以与相关部门进行共享，实现信息互通和协同工作，提高了部门间的联动效率。</w:t>
      </w:r>
    </w:p>
    <w:p>
      <w:pPr>
        <w:adjustRightInd w:val="0"/>
        <w:snapToGrid w:val="0"/>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本项目符合国家政策，解决了当前业务部门的痛点难点，通过本项目建设可有效提高网络监管，降低网络犯罪。专家一致同意通过事前绩效评估。</w:t>
      </w:r>
    </w:p>
    <w:p>
      <w:pPr>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四、评估的相关建议</w:t>
      </w:r>
    </w:p>
    <w:p>
      <w:pPr>
        <w:ind w:firstLine="640" w:firstLineChars="200"/>
        <w:rPr>
          <w:rFonts w:ascii="仿宋_GB2312" w:hAnsi="Arial" w:eastAsia="仿宋_GB2312" w:cs="Arial"/>
          <w:color w:val="333333"/>
          <w:sz w:val="32"/>
          <w:szCs w:val="32"/>
          <w:shd w:val="clear" w:color="auto" w:fill="FFFFFF"/>
        </w:rPr>
      </w:pPr>
      <w:r>
        <w:rPr>
          <w:rFonts w:hint="eastAsia" w:ascii="仿宋_GB2312" w:hAnsi="Arial" w:eastAsia="仿宋_GB2312" w:cs="Arial"/>
          <w:color w:val="333333"/>
          <w:sz w:val="32"/>
          <w:szCs w:val="32"/>
          <w:shd w:val="clear" w:color="auto" w:fill="FFFFFF"/>
        </w:rPr>
        <w:t>严格按照相关文件制定预算，确保资金足额按期到位。建立健全项目绩效管理长效机制，加强绩效评价结果的运用。</w:t>
      </w:r>
    </w:p>
    <w:p>
      <w:pPr>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五、其他需要说明的问题</w:t>
      </w:r>
    </w:p>
    <w:p>
      <w:pPr>
        <w:ind w:firstLine="640" w:firstLineChars="200"/>
        <w:rPr>
          <w:rFonts w:hint="eastAsia" w:ascii="仿宋_GB2312" w:hAnsi="Arial" w:eastAsia="仿宋_GB2312" w:cs="Arial"/>
          <w:color w:val="333333"/>
          <w:sz w:val="32"/>
          <w:szCs w:val="32"/>
          <w:shd w:val="clear" w:color="auto" w:fill="FFFFFF"/>
          <w:lang w:eastAsia="zh-CN"/>
        </w:rPr>
      </w:pPr>
      <w:bookmarkStart w:id="0" w:name="_GoBack"/>
      <w:r>
        <w:rPr>
          <w:rFonts w:hint="eastAsia" w:ascii="仿宋_GB2312" w:hAnsi="Arial" w:eastAsia="仿宋_GB2312" w:cs="Arial"/>
          <w:color w:val="333333"/>
          <w:sz w:val="32"/>
          <w:szCs w:val="32"/>
          <w:shd w:val="clear" w:color="auto" w:fill="FFFFFF"/>
          <w:lang w:eastAsia="zh-CN"/>
        </w:rPr>
        <w:t>无</w:t>
      </w:r>
    </w:p>
    <w:bookmarkEnd w:id="0"/>
    <w:sectPr>
      <w:headerReference r:id="rId3" w:type="default"/>
      <w:footerReference r:id="rId4" w:type="default"/>
      <w:pgSz w:w="11906" w:h="16838"/>
      <w:pgMar w:top="192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732" w:y="-217"/>
      <w:ind w:firstLine="0" w:firstLineChars="0"/>
      <w:rPr>
        <w:rStyle w:val="9"/>
        <w:rFonts w:ascii="宋体" w:hAnsi="宋体" w:eastAsia="宋体" w:cs="Times New Roman"/>
        <w:sz w:val="28"/>
        <w:szCs w:val="28"/>
      </w:rPr>
    </w:pPr>
    <w:r>
      <w:rPr>
        <w:rStyle w:val="9"/>
        <w:rFonts w:hint="eastAsia" w:ascii="宋体" w:hAnsi="宋体" w:eastAsia="宋体" w:cs="宋体"/>
        <w:sz w:val="28"/>
        <w:szCs w:val="28"/>
      </w:rPr>
      <w:t>－</w:t>
    </w:r>
    <w:r>
      <w:rPr>
        <w:rStyle w:val="9"/>
        <w:rFonts w:ascii="宋体" w:hAnsi="宋体" w:eastAsia="宋体" w:cs="宋体"/>
        <w:sz w:val="28"/>
        <w:szCs w:val="28"/>
      </w:rPr>
      <w:fldChar w:fldCharType="begin"/>
    </w:r>
    <w:r>
      <w:rPr>
        <w:rStyle w:val="9"/>
        <w:rFonts w:ascii="宋体" w:hAnsi="宋体" w:eastAsia="宋体" w:cs="宋体"/>
        <w:sz w:val="28"/>
        <w:szCs w:val="28"/>
      </w:rPr>
      <w:instrText xml:space="preserve">PAGE  </w:instrText>
    </w:r>
    <w:r>
      <w:rPr>
        <w:rStyle w:val="9"/>
        <w:rFonts w:ascii="宋体" w:hAnsi="宋体" w:eastAsia="宋体" w:cs="宋体"/>
        <w:sz w:val="28"/>
        <w:szCs w:val="28"/>
      </w:rPr>
      <w:fldChar w:fldCharType="separate"/>
    </w:r>
    <w:r>
      <w:rPr>
        <w:rStyle w:val="9"/>
        <w:rFonts w:ascii="宋体" w:hAnsi="宋体" w:eastAsia="宋体" w:cs="宋体"/>
        <w:sz w:val="28"/>
        <w:szCs w:val="28"/>
      </w:rPr>
      <w:t>1</w:t>
    </w:r>
    <w:r>
      <w:rPr>
        <w:rStyle w:val="9"/>
        <w:rFonts w:ascii="宋体" w:hAnsi="宋体" w:eastAsia="宋体" w:cs="宋体"/>
        <w:sz w:val="28"/>
        <w:szCs w:val="28"/>
      </w:rPr>
      <w:fldChar w:fldCharType="end"/>
    </w:r>
    <w:r>
      <w:rPr>
        <w:rStyle w:val="9"/>
        <w:rFonts w:hint="eastAsia" w:ascii="宋体" w:hAnsi="宋体" w:eastAsia="宋体" w:cs="宋体"/>
        <w:sz w:val="28"/>
        <w:szCs w:val="28"/>
      </w:rPr>
      <w:t>－</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43BFC"/>
    <w:multiLevelType w:val="multilevel"/>
    <w:tmpl w:val="51643BFC"/>
    <w:lvl w:ilvl="0" w:tentative="0">
      <w:start w:val="1"/>
      <w:numFmt w:val="chineseCountingThousand"/>
      <w:suff w:val="space"/>
      <w:lvlText w:val="第%1章"/>
      <w:lvlJc w:val="left"/>
      <w:pPr>
        <w:ind w:left="0" w:firstLine="0"/>
      </w:pPr>
      <w:rPr>
        <w:rFonts w:hint="eastAsia"/>
      </w:rPr>
    </w:lvl>
    <w:lvl w:ilvl="1" w:tentative="0">
      <w:start w:val="1"/>
      <w:numFmt w:val="decimal"/>
      <w:pStyle w:val="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b/>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3" w:tentative="0">
      <w:start w:val="1"/>
      <w:numFmt w:val="decimal"/>
      <w:isLgl/>
      <w:suff w:val="space"/>
      <w:lvlText w:val="%1.%2.%3.%4."/>
      <w:lvlJc w:val="left"/>
      <w:pPr>
        <w:ind w:left="142" w:firstLine="0"/>
      </w:pPr>
      <w:rPr>
        <w:rFonts w:hint="default" w:ascii="Times New Roman" w:hAnsi="Times New Roman" w:cs="Times New Roman"/>
      </w:rPr>
    </w:lvl>
    <w:lvl w:ilvl="4" w:tentative="0">
      <w:start w:val="1"/>
      <w:numFmt w:val="decimal"/>
      <w:isLgl/>
      <w:suff w:val="space"/>
      <w:lvlText w:val="%1.%2.%3.%4.%5."/>
      <w:lvlJc w:val="left"/>
      <w:pPr>
        <w:ind w:left="0" w:firstLine="0"/>
      </w:pPr>
    </w:lvl>
    <w:lvl w:ilvl="5" w:tentative="0">
      <w:start w:val="1"/>
      <w:numFmt w:val="decimal"/>
      <w:isLgl/>
      <w:suff w:val="space"/>
      <w:lvlText w:val="%1.%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6" w:tentative="0">
      <w:start w:val="1"/>
      <w:numFmt w:val="decimal"/>
      <w:isLgl/>
      <w:suff w:val="space"/>
      <w:lvlText w:val="%1.%2.%3.%4.%5.%6.%7."/>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7" w:tentative="0">
      <w:start w:val="1"/>
      <w:numFmt w:val="decimal"/>
      <w:isLgl/>
      <w:suff w:val="space"/>
      <w:lvlText w:val="%1.%2.%3.%4.%5.%6.%7.%8."/>
      <w:lvlJc w:val="left"/>
      <w:pPr>
        <w:ind w:left="0" w:firstLine="0"/>
      </w:pPr>
      <w:rPr>
        <w:rFonts w:hint="default" w:ascii="Times New Roman" w:hAnsi="Times New Roman" w:eastAsia="仿宋" w:cs="Times New Roman"/>
        <w:b/>
        <w:i w:val="0"/>
        <w:sz w:val="28"/>
      </w:rPr>
    </w:lvl>
    <w:lvl w:ilvl="8" w:tentative="0">
      <w:start w:val="1"/>
      <w:numFmt w:val="decimal"/>
      <w:isLgl/>
      <w:suff w:val="space"/>
      <w:lvlText w:val="%1.%2.%3.%4.%5.%6.%7.%8.%9."/>
      <w:lvlJc w:val="left"/>
      <w:pPr>
        <w:ind w:left="0" w:firstLine="0"/>
      </w:pPr>
      <w:rPr>
        <w:rFonts w:hint="default" w:ascii="Times New Roman" w:hAnsi="Times New Roman" w:eastAsia="仿宋" w:cs="Times New Roman"/>
        <w:b/>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0YmZlMWIyMDMyZTY4MmM5MzEzMmRiYWQyYjZiZGMifQ=="/>
  </w:docVars>
  <w:rsids>
    <w:rsidRoot w:val="00C74EF0"/>
    <w:rsid w:val="000257D9"/>
    <w:rsid w:val="00081AB9"/>
    <w:rsid w:val="000E17C1"/>
    <w:rsid w:val="000E62CC"/>
    <w:rsid w:val="000E6D1B"/>
    <w:rsid w:val="001419A1"/>
    <w:rsid w:val="001708E1"/>
    <w:rsid w:val="00174E72"/>
    <w:rsid w:val="0017646F"/>
    <w:rsid w:val="0019577A"/>
    <w:rsid w:val="001B21A9"/>
    <w:rsid w:val="001B6090"/>
    <w:rsid w:val="00203740"/>
    <w:rsid w:val="00231B2C"/>
    <w:rsid w:val="0029698C"/>
    <w:rsid w:val="002B194F"/>
    <w:rsid w:val="002C3B9F"/>
    <w:rsid w:val="002D7AB7"/>
    <w:rsid w:val="002E43C9"/>
    <w:rsid w:val="003210E4"/>
    <w:rsid w:val="003A6447"/>
    <w:rsid w:val="003F47A2"/>
    <w:rsid w:val="004358B1"/>
    <w:rsid w:val="00444153"/>
    <w:rsid w:val="00593091"/>
    <w:rsid w:val="00596871"/>
    <w:rsid w:val="005B25D0"/>
    <w:rsid w:val="005C7CA1"/>
    <w:rsid w:val="005E3B74"/>
    <w:rsid w:val="005F138A"/>
    <w:rsid w:val="00601EAB"/>
    <w:rsid w:val="006A034C"/>
    <w:rsid w:val="006B1CF3"/>
    <w:rsid w:val="007A4C25"/>
    <w:rsid w:val="007E6017"/>
    <w:rsid w:val="00815558"/>
    <w:rsid w:val="008226E1"/>
    <w:rsid w:val="00840313"/>
    <w:rsid w:val="00881B16"/>
    <w:rsid w:val="00891B7A"/>
    <w:rsid w:val="008D2A98"/>
    <w:rsid w:val="008E03B6"/>
    <w:rsid w:val="00930F1B"/>
    <w:rsid w:val="009543DD"/>
    <w:rsid w:val="00965BC8"/>
    <w:rsid w:val="009B7441"/>
    <w:rsid w:val="009F19F7"/>
    <w:rsid w:val="00A03336"/>
    <w:rsid w:val="00A1436C"/>
    <w:rsid w:val="00A43C63"/>
    <w:rsid w:val="00A554DA"/>
    <w:rsid w:val="00A560CA"/>
    <w:rsid w:val="00AB06EC"/>
    <w:rsid w:val="00AF1D54"/>
    <w:rsid w:val="00B279C8"/>
    <w:rsid w:val="00B6663F"/>
    <w:rsid w:val="00BC0D8C"/>
    <w:rsid w:val="00C114CF"/>
    <w:rsid w:val="00C5335D"/>
    <w:rsid w:val="00C74EF0"/>
    <w:rsid w:val="00D14552"/>
    <w:rsid w:val="00D14ABA"/>
    <w:rsid w:val="00D3189E"/>
    <w:rsid w:val="00D40593"/>
    <w:rsid w:val="00DB7D29"/>
    <w:rsid w:val="00DD0AEA"/>
    <w:rsid w:val="00DD63E0"/>
    <w:rsid w:val="00DE4761"/>
    <w:rsid w:val="00E14C25"/>
    <w:rsid w:val="00E20C3A"/>
    <w:rsid w:val="00E37408"/>
    <w:rsid w:val="00E44DA7"/>
    <w:rsid w:val="00E51408"/>
    <w:rsid w:val="00E60CAA"/>
    <w:rsid w:val="00E72C64"/>
    <w:rsid w:val="00EA0067"/>
    <w:rsid w:val="00EC494F"/>
    <w:rsid w:val="00EC6B37"/>
    <w:rsid w:val="00F2627E"/>
    <w:rsid w:val="00F36C67"/>
    <w:rsid w:val="00F543B7"/>
    <w:rsid w:val="00FE2810"/>
    <w:rsid w:val="02D149AD"/>
    <w:rsid w:val="04641518"/>
    <w:rsid w:val="058E152A"/>
    <w:rsid w:val="08BC7AD5"/>
    <w:rsid w:val="0B285DDC"/>
    <w:rsid w:val="0B786294"/>
    <w:rsid w:val="0DC37132"/>
    <w:rsid w:val="0F734A75"/>
    <w:rsid w:val="11162CD7"/>
    <w:rsid w:val="11904838"/>
    <w:rsid w:val="121037B1"/>
    <w:rsid w:val="12C93CC4"/>
    <w:rsid w:val="13D359F0"/>
    <w:rsid w:val="15995C85"/>
    <w:rsid w:val="15CB1088"/>
    <w:rsid w:val="1D116DA0"/>
    <w:rsid w:val="247B1377"/>
    <w:rsid w:val="2D482013"/>
    <w:rsid w:val="354B6B44"/>
    <w:rsid w:val="3C1555E7"/>
    <w:rsid w:val="42D77C69"/>
    <w:rsid w:val="434846C3"/>
    <w:rsid w:val="460E106A"/>
    <w:rsid w:val="483A0BBC"/>
    <w:rsid w:val="4C8C4347"/>
    <w:rsid w:val="50593341"/>
    <w:rsid w:val="51C52021"/>
    <w:rsid w:val="523E560F"/>
    <w:rsid w:val="56530F5D"/>
    <w:rsid w:val="581D1822"/>
    <w:rsid w:val="5FFE462F"/>
    <w:rsid w:val="63F91396"/>
    <w:rsid w:val="65E10333"/>
    <w:rsid w:val="676B6F42"/>
    <w:rsid w:val="6B5E5C35"/>
    <w:rsid w:val="6C5E110D"/>
    <w:rsid w:val="6CDA3D2E"/>
    <w:rsid w:val="6D857F13"/>
    <w:rsid w:val="6E677729"/>
    <w:rsid w:val="6E7C4E1E"/>
    <w:rsid w:val="73C3376E"/>
    <w:rsid w:val="75784746"/>
    <w:rsid w:val="79C9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
    <w:pPr>
      <w:keepNext/>
      <w:keepLines/>
      <w:numPr>
        <w:ilvl w:val="1"/>
        <w:numId w:val="1"/>
      </w:numPr>
      <w:spacing w:before="240" w:after="240"/>
      <w:ind w:firstLineChars="0"/>
      <w:jc w:val="left"/>
      <w:outlineLvl w:val="1"/>
    </w:pPr>
    <w:rPr>
      <w:rFonts w:ascii="Times New Roman" w:hAnsi="Times New Roman"/>
      <w:b/>
      <w:bCs/>
      <w:sz w:val="32"/>
      <w:szCs w:val="36"/>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ind w:left="384"/>
    </w:pPr>
    <w:rPr>
      <w:rFonts w:ascii="宋体" w:hAnsi="宋体" w:eastAsia="宋体" w:cs="宋体"/>
      <w:sz w:val="24"/>
      <w:lang w:val="zh-CN" w:bidi="zh-CN"/>
    </w:rPr>
  </w:style>
  <w:style w:type="paragraph" w:styleId="3">
    <w:name w:val="header"/>
    <w:basedOn w:val="1"/>
    <w:next w:val="4"/>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引用1"/>
    <w:basedOn w:val="1"/>
    <w:next w:val="1"/>
    <w:unhideWhenUsed/>
    <w:qFormat/>
    <w:uiPriority w:val="99"/>
    <w:pPr>
      <w:ind w:left="864" w:right="864"/>
      <w:jc w:val="center"/>
    </w:pPr>
    <w:rPr>
      <w:i/>
      <w:szCs w:val="21"/>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rFonts w:ascii="Calibri" w:hAnsi="Calibri" w:eastAsia="宋体" w:cs="Times New Roman"/>
      <w:kern w:val="0"/>
      <w:sz w:val="24"/>
      <w:szCs w:val="24"/>
    </w:rPr>
  </w:style>
  <w:style w:type="character" w:styleId="9">
    <w:name w:val="page number"/>
    <w:basedOn w:val="8"/>
    <w:qFormat/>
    <w:uiPriority w:val="99"/>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2">
    <w:name w:val="页眉 字符"/>
    <w:basedOn w:val="8"/>
    <w:link w:val="3"/>
    <w:qFormat/>
    <w:uiPriority w:val="99"/>
    <w:rPr>
      <w:sz w:val="18"/>
      <w:szCs w:val="18"/>
    </w:rPr>
  </w:style>
  <w:style w:type="character" w:customStyle="1" w:styleId="13">
    <w:name w:val="页脚 字符"/>
    <w:basedOn w:val="8"/>
    <w:link w:val="6"/>
    <w:qFormat/>
    <w:uiPriority w:val="99"/>
    <w:rPr>
      <w:sz w:val="18"/>
      <w:szCs w:val="18"/>
    </w:rPr>
  </w:style>
  <w:style w:type="paragraph" w:customStyle="1" w:styleId="14">
    <w:name w:val="样式  + 首行缩进:  2 字符"/>
    <w:basedOn w:val="1"/>
    <w:qFormat/>
    <w:uiPriority w:val="0"/>
    <w:pPr>
      <w:adjustRightInd w:val="0"/>
      <w:snapToGrid w:val="0"/>
      <w:ind w:firstLine="480"/>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2808</Words>
  <Characters>2845</Characters>
  <Lines>12</Lines>
  <Paragraphs>3</Paragraphs>
  <TotalTime>2</TotalTime>
  <ScaleCrop>false</ScaleCrop>
  <LinksUpToDate>false</LinksUpToDate>
  <CharactersWithSpaces>2868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2021-06-15T09:31:00Z</dcterms:created>
  <dc:creator>Administrator</dc:creator>
  <cp:lastModifiedBy>Administrator</cp:lastModifiedBy>
  <dcterms:modified xsi:type="dcterms:W3CDTF">2024-01-16T03:14:12Z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23CA5BB7715C4365A869144F7A63B941_12</vt:lpwstr>
  </property>
</Properties>
</file>