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16"/>
        <w:gridCol w:w="573"/>
        <w:gridCol w:w="1909"/>
        <w:gridCol w:w="705"/>
        <w:gridCol w:w="433"/>
        <w:gridCol w:w="2674"/>
        <w:gridCol w:w="1546"/>
        <w:gridCol w:w="339"/>
        <w:gridCol w:w="339"/>
        <w:gridCol w:w="656"/>
        <w:gridCol w:w="1909"/>
        <w:gridCol w:w="1999"/>
        <w:gridCol w:w="58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80" w:hRule="atLeast"/>
        </w:trPr>
        <w:tc>
          <w:tcPr>
            <w:tcW w:w="0" w:type="auto"/>
            <w:gridSpan w:val="13"/>
            <w:tcBorders>
              <w:top w:val="single" w:color="333333" w:sz="4" w:space="0"/>
              <w:left w:val="single" w:color="333333" w:sz="4" w:space="0"/>
              <w:bottom w:val="single" w:color="333333" w:sz="4" w:space="0"/>
              <w:right w:val="single" w:color="333333" w:sz="4"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ascii="方正小标宋_GBK" w:hAnsi="方正小标宋_GBK" w:eastAsia="方正小标宋_GBK" w:cs="方正小标宋_GBK"/>
                <w:i w:val="0"/>
                <w:iCs w:val="0"/>
                <w:caps w:val="0"/>
                <w:color w:val="000000"/>
                <w:spacing w:val="0"/>
                <w:sz w:val="44"/>
                <w:szCs w:val="44"/>
                <w:u w:val="none"/>
              </w:rPr>
            </w:pPr>
            <w:r>
              <w:rPr>
                <w:rFonts w:hint="eastAsia" w:ascii="方正小标宋_GBK" w:hAnsi="方正小标宋_GBK" w:eastAsia="方正小标宋_GBK" w:cs="方正小标宋_GBK"/>
                <w:i w:val="0"/>
                <w:iCs w:val="0"/>
                <w:caps w:val="0"/>
                <w:color w:val="000000"/>
                <w:spacing w:val="0"/>
                <w:kern w:val="0"/>
                <w:sz w:val="44"/>
                <w:szCs w:val="44"/>
                <w:u w:val="none"/>
                <w:bdr w:val="none" w:color="auto" w:sz="0" w:space="0"/>
                <w:lang w:val="en-US" w:eastAsia="zh-CN" w:bidi="ar"/>
              </w:rPr>
              <w:t>寿县</w:t>
            </w:r>
            <w:r>
              <w:rPr>
                <w:rFonts w:hint="default" w:ascii="方正小标宋_GBK" w:hAnsi="方正小标宋_GBK" w:eastAsia="方正小标宋_GBK" w:cs="方正小标宋_GBK"/>
                <w:i w:val="0"/>
                <w:iCs w:val="0"/>
                <w:caps w:val="0"/>
                <w:color w:val="000000"/>
                <w:spacing w:val="0"/>
                <w:kern w:val="0"/>
                <w:sz w:val="44"/>
                <w:szCs w:val="44"/>
                <w:u w:val="none"/>
                <w:bdr w:val="none" w:color="auto" w:sz="0" w:space="0"/>
                <w:lang w:val="en-US" w:eastAsia="zh-CN" w:bidi="ar"/>
              </w:rPr>
              <w:t>公安局行政权力中介服务清单（2022年）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0" w:type="auto"/>
            <w:vMerge w:val="restart"/>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ascii="黑体" w:hAnsi="宋体" w:eastAsia="黑体" w:cs="黑体"/>
                <w:i w:val="0"/>
                <w:iCs w:val="0"/>
                <w:caps w:val="0"/>
                <w:color w:val="000000"/>
                <w:spacing w:val="0"/>
                <w:sz w:val="28"/>
                <w:szCs w:val="28"/>
                <w:u w:val="none"/>
              </w:rPr>
            </w:pPr>
            <w:r>
              <w:rPr>
                <w:rFonts w:hint="eastAsia" w:ascii="黑体" w:hAnsi="宋体" w:eastAsia="黑体" w:cs="黑体"/>
                <w:i w:val="0"/>
                <w:iCs w:val="0"/>
                <w:caps w:val="0"/>
                <w:color w:val="000000"/>
                <w:spacing w:val="0"/>
                <w:kern w:val="0"/>
                <w:sz w:val="28"/>
                <w:szCs w:val="28"/>
                <w:u w:val="none"/>
                <w:bdr w:val="none" w:color="auto" w:sz="0" w:space="0"/>
                <w:lang w:val="en-US" w:eastAsia="zh-CN" w:bidi="ar"/>
              </w:rPr>
              <w:t>序号</w:t>
            </w:r>
          </w:p>
        </w:tc>
        <w:tc>
          <w:tcPr>
            <w:tcW w:w="0" w:type="auto"/>
            <w:vMerge w:val="restart"/>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8"/>
                <w:szCs w:val="28"/>
                <w:u w:val="none"/>
              </w:rPr>
            </w:pPr>
            <w:r>
              <w:rPr>
                <w:rFonts w:hint="eastAsia" w:ascii="黑体" w:hAnsi="宋体" w:eastAsia="黑体" w:cs="黑体"/>
                <w:i w:val="0"/>
                <w:iCs w:val="0"/>
                <w:caps w:val="0"/>
                <w:color w:val="000000"/>
                <w:spacing w:val="0"/>
                <w:kern w:val="0"/>
                <w:sz w:val="28"/>
                <w:szCs w:val="28"/>
                <w:u w:val="none"/>
                <w:bdr w:val="none" w:color="auto" w:sz="0" w:space="0"/>
                <w:lang w:val="en-US" w:eastAsia="zh-CN" w:bidi="ar"/>
              </w:rPr>
              <w:t>事项</w:t>
            </w:r>
            <w:r>
              <w:rPr>
                <w:rFonts w:hint="eastAsia" w:ascii="黑体" w:hAnsi="宋体" w:eastAsia="黑体" w:cs="黑体"/>
                <w:i w:val="0"/>
                <w:iCs w:val="0"/>
                <w:caps w:val="0"/>
                <w:color w:val="000000"/>
                <w:spacing w:val="0"/>
                <w:kern w:val="0"/>
                <w:sz w:val="28"/>
                <w:szCs w:val="28"/>
                <w:u w:val="none"/>
                <w:bdr w:val="none" w:color="auto" w:sz="0" w:space="0"/>
                <w:lang w:val="en-US" w:eastAsia="zh-CN" w:bidi="ar"/>
              </w:rPr>
              <w:br w:type="textWrapping"/>
            </w:r>
            <w:r>
              <w:rPr>
                <w:rFonts w:hint="eastAsia" w:ascii="黑体" w:hAnsi="宋体" w:eastAsia="黑体" w:cs="黑体"/>
                <w:i w:val="0"/>
                <w:iCs w:val="0"/>
                <w:caps w:val="0"/>
                <w:color w:val="000000"/>
                <w:spacing w:val="0"/>
                <w:kern w:val="0"/>
                <w:sz w:val="28"/>
                <w:szCs w:val="28"/>
                <w:u w:val="none"/>
                <w:bdr w:val="none" w:color="auto" w:sz="0" w:space="0"/>
                <w:lang w:val="en-US" w:eastAsia="zh-CN" w:bidi="ar"/>
              </w:rPr>
              <w:t>名称</w:t>
            </w:r>
          </w:p>
        </w:tc>
        <w:tc>
          <w:tcPr>
            <w:tcW w:w="0" w:type="auto"/>
            <w:vMerge w:val="restart"/>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8"/>
                <w:szCs w:val="28"/>
                <w:u w:val="none"/>
              </w:rPr>
            </w:pPr>
            <w:r>
              <w:rPr>
                <w:rFonts w:hint="eastAsia" w:ascii="黑体" w:hAnsi="宋体" w:eastAsia="黑体" w:cs="黑体"/>
                <w:i w:val="0"/>
                <w:iCs w:val="0"/>
                <w:caps w:val="0"/>
                <w:color w:val="000000"/>
                <w:spacing w:val="0"/>
                <w:kern w:val="0"/>
                <w:sz w:val="28"/>
                <w:szCs w:val="28"/>
                <w:u w:val="none"/>
                <w:bdr w:val="none" w:color="auto" w:sz="0" w:space="0"/>
                <w:lang w:val="en-US" w:eastAsia="zh-CN" w:bidi="ar"/>
              </w:rPr>
              <w:t>设定依据</w:t>
            </w:r>
          </w:p>
        </w:tc>
        <w:tc>
          <w:tcPr>
            <w:tcW w:w="0" w:type="auto"/>
            <w:vMerge w:val="restart"/>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8"/>
                <w:szCs w:val="28"/>
                <w:u w:val="none"/>
              </w:rPr>
            </w:pPr>
            <w:r>
              <w:rPr>
                <w:rFonts w:hint="eastAsia" w:ascii="黑体" w:hAnsi="宋体" w:eastAsia="黑体" w:cs="黑体"/>
                <w:i w:val="0"/>
                <w:iCs w:val="0"/>
                <w:caps w:val="0"/>
                <w:color w:val="000000"/>
                <w:spacing w:val="0"/>
                <w:kern w:val="0"/>
                <w:sz w:val="28"/>
                <w:szCs w:val="28"/>
                <w:u w:val="none"/>
                <w:bdr w:val="none" w:color="auto" w:sz="0" w:space="0"/>
                <w:lang w:val="en-US" w:eastAsia="zh-CN" w:bidi="ar"/>
              </w:rPr>
              <w:t>对应权力事项名称</w:t>
            </w:r>
          </w:p>
        </w:tc>
        <w:tc>
          <w:tcPr>
            <w:tcW w:w="0" w:type="auto"/>
            <w:gridSpan w:val="2"/>
            <w:tcBorders>
              <w:top w:val="single" w:color="auto" w:sz="8" w:space="0"/>
              <w:left w:val="nil"/>
              <w:bottom w:val="single" w:color="auto" w:sz="8" w:space="0"/>
              <w:right w:val="single" w:color="000000"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8"/>
                <w:szCs w:val="28"/>
                <w:u w:val="none"/>
              </w:rPr>
            </w:pPr>
            <w:r>
              <w:rPr>
                <w:rFonts w:hint="eastAsia" w:ascii="黑体" w:hAnsi="宋体" w:eastAsia="黑体" w:cs="黑体"/>
                <w:i w:val="0"/>
                <w:iCs w:val="0"/>
                <w:caps w:val="0"/>
                <w:color w:val="000000"/>
                <w:spacing w:val="0"/>
                <w:kern w:val="0"/>
                <w:sz w:val="28"/>
                <w:szCs w:val="28"/>
                <w:u w:val="none"/>
                <w:bdr w:val="none" w:color="auto" w:sz="0" w:space="0"/>
                <w:lang w:val="en-US" w:eastAsia="zh-CN" w:bidi="ar"/>
              </w:rPr>
              <w:t>中介服务实施机构</w:t>
            </w:r>
          </w:p>
        </w:tc>
        <w:tc>
          <w:tcPr>
            <w:tcW w:w="0" w:type="auto"/>
            <w:vMerge w:val="restart"/>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8"/>
                <w:szCs w:val="28"/>
                <w:u w:val="none"/>
              </w:rPr>
            </w:pPr>
            <w:r>
              <w:rPr>
                <w:rFonts w:hint="eastAsia" w:ascii="黑体" w:hAnsi="宋体" w:eastAsia="黑体" w:cs="黑体"/>
                <w:i w:val="0"/>
                <w:iCs w:val="0"/>
                <w:caps w:val="0"/>
                <w:color w:val="000000"/>
                <w:spacing w:val="0"/>
                <w:kern w:val="0"/>
                <w:sz w:val="28"/>
                <w:szCs w:val="28"/>
                <w:u w:val="none"/>
                <w:bdr w:val="none" w:color="auto" w:sz="0" w:space="0"/>
                <w:lang w:val="en-US" w:eastAsia="zh-CN" w:bidi="ar"/>
              </w:rPr>
              <w:t>收费标准</w:t>
            </w:r>
            <w:r>
              <w:rPr>
                <w:rFonts w:hint="eastAsia" w:ascii="黑体" w:hAnsi="宋体" w:eastAsia="黑体" w:cs="黑体"/>
                <w:i w:val="0"/>
                <w:iCs w:val="0"/>
                <w:caps w:val="0"/>
                <w:color w:val="000000"/>
                <w:spacing w:val="0"/>
                <w:kern w:val="0"/>
                <w:sz w:val="28"/>
                <w:szCs w:val="28"/>
                <w:u w:val="none"/>
                <w:bdr w:val="none" w:color="auto" w:sz="0" w:space="0"/>
                <w:lang w:val="en-US" w:eastAsia="zh-CN" w:bidi="ar"/>
              </w:rPr>
              <w:br w:type="textWrapping"/>
            </w:r>
            <w:r>
              <w:rPr>
                <w:rFonts w:hint="eastAsia" w:ascii="黑体" w:hAnsi="宋体" w:eastAsia="黑体" w:cs="黑体"/>
                <w:i w:val="0"/>
                <w:iCs w:val="0"/>
                <w:caps w:val="0"/>
                <w:color w:val="000000"/>
                <w:spacing w:val="0"/>
                <w:kern w:val="0"/>
                <w:sz w:val="28"/>
                <w:szCs w:val="28"/>
                <w:u w:val="none"/>
                <w:bdr w:val="none" w:color="auto" w:sz="0" w:space="0"/>
                <w:lang w:val="en-US" w:eastAsia="zh-CN" w:bidi="ar"/>
              </w:rPr>
              <w:t>及依据</w:t>
            </w:r>
          </w:p>
        </w:tc>
        <w:tc>
          <w:tcPr>
            <w:tcW w:w="0" w:type="auto"/>
            <w:vMerge w:val="restart"/>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8"/>
                <w:szCs w:val="28"/>
                <w:u w:val="none"/>
              </w:rPr>
            </w:pPr>
            <w:r>
              <w:rPr>
                <w:rFonts w:hint="eastAsia" w:ascii="黑体" w:hAnsi="宋体" w:eastAsia="黑体" w:cs="黑体"/>
                <w:i w:val="0"/>
                <w:iCs w:val="0"/>
                <w:caps w:val="0"/>
                <w:color w:val="000000"/>
                <w:spacing w:val="0"/>
                <w:kern w:val="0"/>
                <w:sz w:val="28"/>
                <w:szCs w:val="28"/>
                <w:u w:val="none"/>
                <w:bdr w:val="none" w:color="auto" w:sz="0" w:space="0"/>
                <w:lang w:val="en-US" w:eastAsia="zh-CN" w:bidi="ar"/>
              </w:rPr>
              <w:t>处理决定</w:t>
            </w:r>
          </w:p>
        </w:tc>
        <w:tc>
          <w:tcPr>
            <w:tcW w:w="0" w:type="auto"/>
            <w:vMerge w:val="restart"/>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8"/>
                <w:szCs w:val="28"/>
                <w:u w:val="none"/>
              </w:rPr>
            </w:pPr>
            <w:r>
              <w:rPr>
                <w:rFonts w:hint="eastAsia" w:ascii="黑体" w:hAnsi="宋体" w:eastAsia="黑体" w:cs="黑体"/>
                <w:i w:val="0"/>
                <w:iCs w:val="0"/>
                <w:caps w:val="0"/>
                <w:color w:val="000000"/>
                <w:spacing w:val="0"/>
                <w:kern w:val="0"/>
                <w:sz w:val="28"/>
                <w:szCs w:val="28"/>
                <w:u w:val="none"/>
                <w:bdr w:val="none" w:color="auto" w:sz="0" w:space="0"/>
                <w:lang w:val="en-US" w:eastAsia="zh-CN" w:bidi="ar"/>
              </w:rPr>
              <w:t>委托主体</w:t>
            </w:r>
          </w:p>
        </w:tc>
        <w:tc>
          <w:tcPr>
            <w:tcW w:w="0" w:type="auto"/>
            <w:vMerge w:val="restart"/>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8"/>
                <w:szCs w:val="28"/>
                <w:u w:val="none"/>
              </w:rPr>
            </w:pPr>
            <w:r>
              <w:rPr>
                <w:rFonts w:hint="eastAsia" w:ascii="黑体" w:hAnsi="宋体" w:eastAsia="黑体" w:cs="黑体"/>
                <w:i w:val="0"/>
                <w:iCs w:val="0"/>
                <w:caps w:val="0"/>
                <w:color w:val="000000"/>
                <w:spacing w:val="0"/>
                <w:kern w:val="0"/>
                <w:sz w:val="28"/>
                <w:szCs w:val="28"/>
                <w:u w:val="none"/>
                <w:bdr w:val="none" w:color="auto" w:sz="0" w:space="0"/>
                <w:lang w:val="en-US" w:eastAsia="zh-CN" w:bidi="ar"/>
              </w:rPr>
              <w:t>办理时限</w:t>
            </w:r>
          </w:p>
        </w:tc>
        <w:tc>
          <w:tcPr>
            <w:tcW w:w="0" w:type="auto"/>
            <w:vMerge w:val="restart"/>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8"/>
                <w:szCs w:val="28"/>
                <w:u w:val="none"/>
              </w:rPr>
            </w:pPr>
            <w:r>
              <w:rPr>
                <w:rFonts w:hint="eastAsia" w:ascii="黑体" w:hAnsi="宋体" w:eastAsia="黑体" w:cs="黑体"/>
                <w:i w:val="0"/>
                <w:iCs w:val="0"/>
                <w:caps w:val="0"/>
                <w:color w:val="000000"/>
                <w:spacing w:val="0"/>
                <w:kern w:val="0"/>
                <w:sz w:val="28"/>
                <w:szCs w:val="28"/>
                <w:u w:val="none"/>
                <w:bdr w:val="none" w:color="auto" w:sz="0" w:space="0"/>
                <w:lang w:val="en-US" w:eastAsia="zh-CN" w:bidi="ar"/>
              </w:rPr>
              <w:t>工作流程</w:t>
            </w:r>
          </w:p>
        </w:tc>
        <w:tc>
          <w:tcPr>
            <w:tcW w:w="0" w:type="auto"/>
            <w:vMerge w:val="restart"/>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8"/>
                <w:szCs w:val="28"/>
                <w:u w:val="none"/>
              </w:rPr>
            </w:pPr>
            <w:r>
              <w:rPr>
                <w:rFonts w:hint="eastAsia" w:ascii="黑体" w:hAnsi="宋体" w:eastAsia="黑体" w:cs="黑体"/>
                <w:i w:val="0"/>
                <w:iCs w:val="0"/>
                <w:caps w:val="0"/>
                <w:color w:val="000000"/>
                <w:spacing w:val="0"/>
                <w:kern w:val="0"/>
                <w:sz w:val="28"/>
                <w:szCs w:val="28"/>
                <w:u w:val="none"/>
                <w:bdr w:val="none" w:color="auto" w:sz="0" w:space="0"/>
                <w:lang w:val="en-US" w:eastAsia="zh-CN" w:bidi="ar"/>
              </w:rPr>
              <w:t>申报条件</w:t>
            </w:r>
          </w:p>
        </w:tc>
        <w:tc>
          <w:tcPr>
            <w:tcW w:w="0" w:type="auto"/>
            <w:vMerge w:val="restart"/>
            <w:tcBorders>
              <w:top w:val="single" w:color="auto" w:sz="8" w:space="0"/>
              <w:left w:val="single" w:color="auto" w:sz="8" w:space="0"/>
              <w:bottom w:val="single" w:color="auto" w:sz="8" w:space="0"/>
              <w:right w:val="single" w:color="auto" w:sz="8" w:space="0"/>
            </w:tcBorders>
            <w:shd w:val="clear" w:color="auto" w:fill="FFFFFF"/>
            <w:noWrap/>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8"/>
                <w:szCs w:val="28"/>
                <w:u w:val="none"/>
              </w:rPr>
            </w:pPr>
            <w:r>
              <w:rPr>
                <w:rFonts w:hint="eastAsia" w:ascii="黑体" w:hAnsi="宋体" w:eastAsia="黑体" w:cs="黑体"/>
                <w:i w:val="0"/>
                <w:iCs w:val="0"/>
                <w:caps w:val="0"/>
                <w:color w:val="000000"/>
                <w:spacing w:val="0"/>
                <w:kern w:val="0"/>
                <w:sz w:val="28"/>
                <w:szCs w:val="28"/>
                <w:u w:val="none"/>
                <w:bdr w:val="none" w:color="auto" w:sz="0" w:space="0"/>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0" w:hRule="atLeast"/>
        </w:trPr>
        <w:tc>
          <w:tcPr>
            <w:tcW w:w="0" w:type="auto"/>
            <w:vMerge w:val="continue"/>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jc w:val="center"/>
              <w:rPr>
                <w:rFonts w:hint="eastAsia" w:ascii="黑体" w:hAnsi="宋体" w:eastAsia="黑体" w:cs="黑体"/>
                <w:i w:val="0"/>
                <w:iCs w:val="0"/>
                <w:caps w:val="0"/>
                <w:color w:val="000000"/>
                <w:spacing w:val="0"/>
                <w:sz w:val="28"/>
                <w:szCs w:val="28"/>
                <w:u w:val="none"/>
              </w:rPr>
            </w:pPr>
          </w:p>
        </w:tc>
        <w:tc>
          <w:tcPr>
            <w:tcW w:w="0" w:type="auto"/>
            <w:vMerge w:val="continue"/>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jc w:val="center"/>
              <w:rPr>
                <w:rFonts w:hint="eastAsia" w:ascii="黑体" w:hAnsi="宋体" w:eastAsia="黑体" w:cs="黑体"/>
                <w:i w:val="0"/>
                <w:iCs w:val="0"/>
                <w:caps w:val="0"/>
                <w:color w:val="000000"/>
                <w:spacing w:val="0"/>
                <w:sz w:val="28"/>
                <w:szCs w:val="28"/>
                <w:u w:val="none"/>
              </w:rPr>
            </w:pPr>
          </w:p>
        </w:tc>
        <w:tc>
          <w:tcPr>
            <w:tcW w:w="0" w:type="auto"/>
            <w:vMerge w:val="continue"/>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jc w:val="center"/>
              <w:rPr>
                <w:rFonts w:hint="eastAsia" w:ascii="黑体" w:hAnsi="宋体" w:eastAsia="黑体" w:cs="黑体"/>
                <w:i w:val="0"/>
                <w:iCs w:val="0"/>
                <w:caps w:val="0"/>
                <w:color w:val="000000"/>
                <w:spacing w:val="0"/>
                <w:sz w:val="28"/>
                <w:szCs w:val="28"/>
                <w:u w:val="none"/>
              </w:rPr>
            </w:pPr>
          </w:p>
        </w:tc>
        <w:tc>
          <w:tcPr>
            <w:tcW w:w="0" w:type="auto"/>
            <w:vMerge w:val="continue"/>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jc w:val="center"/>
              <w:rPr>
                <w:rFonts w:hint="eastAsia" w:ascii="黑体" w:hAnsi="宋体" w:eastAsia="黑体" w:cs="黑体"/>
                <w:i w:val="0"/>
                <w:iCs w:val="0"/>
                <w:caps w:val="0"/>
                <w:color w:val="000000"/>
                <w:spacing w:val="0"/>
                <w:sz w:val="28"/>
                <w:szCs w:val="28"/>
                <w:u w:val="none"/>
              </w:rPr>
            </w:pPr>
          </w:p>
        </w:tc>
        <w:tc>
          <w:tcPr>
            <w:tcW w:w="433" w:type="dxa"/>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8"/>
                <w:szCs w:val="28"/>
                <w:u w:val="none"/>
              </w:rPr>
            </w:pPr>
            <w:r>
              <w:rPr>
                <w:rFonts w:hint="eastAsia" w:ascii="黑体" w:hAnsi="宋体" w:eastAsia="黑体" w:cs="黑体"/>
                <w:i w:val="0"/>
                <w:iCs w:val="0"/>
                <w:caps w:val="0"/>
                <w:color w:val="000000"/>
                <w:spacing w:val="0"/>
                <w:kern w:val="0"/>
                <w:sz w:val="28"/>
                <w:szCs w:val="28"/>
                <w:u w:val="none"/>
                <w:bdr w:val="none" w:color="auto" w:sz="0" w:space="0"/>
                <w:lang w:val="en-US" w:eastAsia="zh-CN" w:bidi="ar"/>
              </w:rPr>
              <w:t>资质条件</w:t>
            </w:r>
          </w:p>
        </w:tc>
        <w:tc>
          <w:tcPr>
            <w:tcW w:w="2675" w:type="dxa"/>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8"/>
                <w:szCs w:val="28"/>
                <w:u w:val="none"/>
              </w:rPr>
            </w:pPr>
            <w:r>
              <w:rPr>
                <w:rFonts w:hint="eastAsia" w:ascii="黑体" w:hAnsi="宋体" w:eastAsia="黑体" w:cs="黑体"/>
                <w:i w:val="0"/>
                <w:iCs w:val="0"/>
                <w:caps w:val="0"/>
                <w:color w:val="000000"/>
                <w:spacing w:val="0"/>
                <w:kern w:val="0"/>
                <w:sz w:val="28"/>
                <w:szCs w:val="28"/>
                <w:u w:val="none"/>
                <w:bdr w:val="none" w:color="auto" w:sz="0" w:space="0"/>
                <w:lang w:val="en-US" w:eastAsia="zh-CN" w:bidi="ar"/>
              </w:rPr>
              <w:t>资质依据</w:t>
            </w:r>
          </w:p>
        </w:tc>
        <w:tc>
          <w:tcPr>
            <w:tcW w:w="0" w:type="auto"/>
            <w:vMerge w:val="continue"/>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jc w:val="center"/>
              <w:rPr>
                <w:rFonts w:hint="eastAsia" w:ascii="黑体" w:hAnsi="宋体" w:eastAsia="黑体" w:cs="黑体"/>
                <w:i w:val="0"/>
                <w:iCs w:val="0"/>
                <w:caps w:val="0"/>
                <w:color w:val="000000"/>
                <w:spacing w:val="0"/>
                <w:sz w:val="28"/>
                <w:szCs w:val="28"/>
                <w:u w:val="none"/>
              </w:rPr>
            </w:pPr>
          </w:p>
        </w:tc>
        <w:tc>
          <w:tcPr>
            <w:tcW w:w="0" w:type="auto"/>
            <w:vMerge w:val="continue"/>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jc w:val="center"/>
              <w:rPr>
                <w:rFonts w:hint="eastAsia" w:ascii="黑体" w:hAnsi="宋体" w:eastAsia="黑体" w:cs="黑体"/>
                <w:i w:val="0"/>
                <w:iCs w:val="0"/>
                <w:caps w:val="0"/>
                <w:color w:val="000000"/>
                <w:spacing w:val="0"/>
                <w:sz w:val="28"/>
                <w:szCs w:val="28"/>
                <w:u w:val="none"/>
              </w:rPr>
            </w:pPr>
          </w:p>
        </w:tc>
        <w:tc>
          <w:tcPr>
            <w:tcW w:w="0" w:type="auto"/>
            <w:vMerge w:val="continue"/>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jc w:val="center"/>
              <w:rPr>
                <w:rFonts w:hint="eastAsia" w:ascii="黑体" w:hAnsi="宋体" w:eastAsia="黑体" w:cs="黑体"/>
                <w:i w:val="0"/>
                <w:iCs w:val="0"/>
                <w:caps w:val="0"/>
                <w:color w:val="000000"/>
                <w:spacing w:val="0"/>
                <w:sz w:val="28"/>
                <w:szCs w:val="28"/>
                <w:u w:val="none"/>
              </w:rPr>
            </w:pPr>
          </w:p>
        </w:tc>
        <w:tc>
          <w:tcPr>
            <w:tcW w:w="0" w:type="auto"/>
            <w:vMerge w:val="continue"/>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jc w:val="center"/>
              <w:rPr>
                <w:rFonts w:hint="eastAsia" w:ascii="黑体" w:hAnsi="宋体" w:eastAsia="黑体" w:cs="黑体"/>
                <w:i w:val="0"/>
                <w:iCs w:val="0"/>
                <w:caps w:val="0"/>
                <w:color w:val="000000"/>
                <w:spacing w:val="0"/>
                <w:sz w:val="28"/>
                <w:szCs w:val="28"/>
                <w:u w:val="none"/>
              </w:rPr>
            </w:pPr>
          </w:p>
        </w:tc>
        <w:tc>
          <w:tcPr>
            <w:tcW w:w="0" w:type="auto"/>
            <w:vMerge w:val="continue"/>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jc w:val="center"/>
              <w:rPr>
                <w:rFonts w:hint="eastAsia" w:ascii="黑体" w:hAnsi="宋体" w:eastAsia="黑体" w:cs="黑体"/>
                <w:i w:val="0"/>
                <w:iCs w:val="0"/>
                <w:caps w:val="0"/>
                <w:color w:val="000000"/>
                <w:spacing w:val="0"/>
                <w:sz w:val="28"/>
                <w:szCs w:val="28"/>
                <w:u w:val="none"/>
              </w:rPr>
            </w:pPr>
          </w:p>
        </w:tc>
        <w:tc>
          <w:tcPr>
            <w:tcW w:w="0" w:type="auto"/>
            <w:vMerge w:val="continue"/>
            <w:tcBorders>
              <w:top w:val="single" w:color="auto" w:sz="8" w:space="0"/>
              <w:left w:val="single" w:color="auto" w:sz="8" w:space="0"/>
              <w:bottom w:val="single" w:color="000000" w:sz="8" w:space="0"/>
              <w:right w:val="single" w:color="auto" w:sz="8" w:space="0"/>
            </w:tcBorders>
            <w:shd w:val="clear" w:color="auto" w:fill="FFFFFF"/>
            <w:tcMar>
              <w:top w:w="12" w:type="dxa"/>
              <w:left w:w="12" w:type="dxa"/>
              <w:bottom w:w="60" w:type="dxa"/>
              <w:right w:w="12" w:type="dxa"/>
            </w:tcMar>
            <w:vAlign w:val="center"/>
          </w:tcPr>
          <w:p>
            <w:pPr>
              <w:jc w:val="center"/>
              <w:rPr>
                <w:rFonts w:hint="eastAsia" w:ascii="黑体" w:hAnsi="宋体" w:eastAsia="黑体" w:cs="黑体"/>
                <w:i w:val="0"/>
                <w:iCs w:val="0"/>
                <w:caps w:val="0"/>
                <w:color w:val="000000"/>
                <w:spacing w:val="0"/>
                <w:sz w:val="28"/>
                <w:szCs w:val="28"/>
                <w:u w:val="none"/>
              </w:rPr>
            </w:pPr>
          </w:p>
        </w:tc>
        <w:tc>
          <w:tcPr>
            <w:tcW w:w="0" w:type="auto"/>
            <w:vMerge w:val="continue"/>
            <w:tcBorders>
              <w:top w:val="single" w:color="auto" w:sz="8" w:space="0"/>
              <w:left w:val="single" w:color="auto" w:sz="8" w:space="0"/>
              <w:bottom w:val="single" w:color="auto" w:sz="8" w:space="0"/>
              <w:right w:val="single" w:color="auto" w:sz="8" w:space="0"/>
            </w:tcBorders>
            <w:shd w:val="clear" w:color="auto" w:fill="FFFFFF"/>
            <w:noWrap/>
            <w:tcMar>
              <w:top w:w="12" w:type="dxa"/>
              <w:left w:w="12" w:type="dxa"/>
              <w:bottom w:w="60" w:type="dxa"/>
              <w:right w:w="12" w:type="dxa"/>
            </w:tcMar>
            <w:vAlign w:val="center"/>
          </w:tcPr>
          <w:p>
            <w:pPr>
              <w:jc w:val="center"/>
              <w:rPr>
                <w:rFonts w:hint="eastAsia" w:ascii="黑体" w:hAnsi="宋体" w:eastAsia="黑体" w:cs="黑体"/>
                <w:i w:val="0"/>
                <w:iCs w:val="0"/>
                <w:caps w:val="0"/>
                <w:color w:val="000000"/>
                <w:spacing w:val="0"/>
                <w:sz w:val="28"/>
                <w:szCs w:val="28"/>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00" w:hRule="atLeast"/>
        </w:trPr>
        <w:tc>
          <w:tcPr>
            <w:tcW w:w="0" w:type="auto"/>
            <w:tcBorders>
              <w:top w:val="nil"/>
              <w:left w:val="single" w:color="auto" w:sz="8" w:space="0"/>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0"/>
                <w:szCs w:val="20"/>
                <w:u w:val="none"/>
              </w:rPr>
            </w:pPr>
            <w:r>
              <w:rPr>
                <w:rFonts w:hint="eastAsia" w:ascii="黑体" w:hAnsi="宋体" w:eastAsia="黑体" w:cs="黑体"/>
                <w:i w:val="0"/>
                <w:iCs w:val="0"/>
                <w:caps w:val="0"/>
                <w:color w:val="000000"/>
                <w:spacing w:val="0"/>
                <w:kern w:val="0"/>
                <w:sz w:val="20"/>
                <w:szCs w:val="20"/>
                <w:u w:val="none"/>
                <w:bdr w:val="none" w:color="auto" w:sz="0" w:space="0"/>
                <w:lang w:val="en-US" w:eastAsia="zh-CN" w:bidi="ar"/>
              </w:rPr>
              <w:t>1</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机动车驾驶人身体条件证明出具</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公安部关于修改&lt;机动车驾驶证申领和使用规定&gt;的决定》(公安部令第162号)第二十三条：初次申请机动车驾驶证，应当填写申请表，并提交以下证明：1、申请人的身份证明；2、医疗机构出具的有关身体条件的证明；第六十三条：机动车驾驶人应当于机动车驾驶证有效期满前九十日内，向机动车驾驶证核发地或者核发地以外的车辆管理所申请换证。申请时应当确认申请信息，并提交以下证明、凭证：1、机动车驾驶人的身份证明；2、医疗机构出具的有关身体条件的证明。</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机动车驾驶证核发</w:t>
            </w:r>
          </w:p>
        </w:tc>
        <w:tc>
          <w:tcPr>
            <w:tcW w:w="433" w:type="dxa"/>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符合条件的医疗机构</w:t>
            </w:r>
          </w:p>
        </w:tc>
        <w:tc>
          <w:tcPr>
            <w:tcW w:w="2675" w:type="dxa"/>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《深化公安交管“放管服”改革 优化营商环境12项措施 》：对申请机动车驾驶证、办理机动车驾驶证业务需要提交身体条件证明的，体检医疗机构由县级或者部队团级以上医疗机构扩大到符合健康体检资质的二级以上医院、乡镇卫生院、社区卫生服务中心、健康体检中心等医疗机构，方便群众就近办理。</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政府定价。依据各市出台相关文件执行。</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保留</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行政相对人</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即办即走</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本人持身份证明到医疗机构体检</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1、年龄    2、身体条件</w:t>
            </w:r>
          </w:p>
        </w:tc>
        <w:tc>
          <w:tcPr>
            <w:tcW w:w="0" w:type="auto"/>
            <w:tcBorders>
              <w:top w:val="nil"/>
              <w:left w:val="nil"/>
              <w:bottom w:val="single" w:color="auto" w:sz="8" w:space="0"/>
              <w:right w:val="single" w:color="auto" w:sz="8" w:space="0"/>
            </w:tcBorders>
            <w:shd w:val="clear" w:color="auto" w:fill="FFFFFF"/>
            <w:noWrap/>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0"/>
                <w:szCs w:val="20"/>
                <w:u w:val="none"/>
              </w:rPr>
            </w:pPr>
            <w:r>
              <w:rPr>
                <w:rFonts w:hint="eastAsia" w:ascii="黑体" w:hAnsi="宋体" w:eastAsia="黑体" w:cs="黑体"/>
                <w:i w:val="0"/>
                <w:iCs w:val="0"/>
                <w:caps w:val="0"/>
                <w:color w:val="000000"/>
                <w:spacing w:val="0"/>
                <w:kern w:val="0"/>
                <w:sz w:val="20"/>
                <w:szCs w:val="20"/>
                <w:u w:val="none"/>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00" w:hRule="atLeast"/>
        </w:trPr>
        <w:tc>
          <w:tcPr>
            <w:tcW w:w="0" w:type="auto"/>
            <w:tcBorders>
              <w:top w:val="nil"/>
              <w:left w:val="single" w:color="auto" w:sz="8" w:space="0"/>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0"/>
                <w:szCs w:val="20"/>
                <w:u w:val="none"/>
                <w:lang w:val="en-US" w:eastAsia="zh-CN"/>
              </w:rPr>
            </w:pPr>
            <w:r>
              <w:rPr>
                <w:rFonts w:hint="eastAsia" w:ascii="黑体" w:hAnsi="宋体" w:eastAsia="黑体" w:cs="黑体"/>
                <w:i w:val="0"/>
                <w:iCs w:val="0"/>
                <w:caps w:val="0"/>
                <w:color w:val="000000"/>
                <w:spacing w:val="0"/>
                <w:sz w:val="20"/>
                <w:szCs w:val="20"/>
                <w:u w:val="none"/>
                <w:lang w:val="en-US" w:eastAsia="zh-CN"/>
              </w:rPr>
              <w:t>2</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涉案物品价格鉴定</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公安机关办理行政案件程序规定》第九十三条：涉案物品价值不明或者难以确定的，公安机关应当委托价格鉴证机构估价。根据当事人提供的购买发票等票据能够认定价值的涉案物品，或者价值明显不够刑事立案标准的涉案物品，公安机关可以不进行价格鉴证。</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公安机关涉及涉案物品处置的行政权力事项</w:t>
            </w:r>
          </w:p>
        </w:tc>
        <w:tc>
          <w:tcPr>
            <w:tcW w:w="433" w:type="dxa"/>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具备相应等级价格评估机构资质的单位</w:t>
            </w:r>
          </w:p>
        </w:tc>
        <w:tc>
          <w:tcPr>
            <w:tcW w:w="2675" w:type="dxa"/>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《安徽省物价局关于印发安徽省涉案财产价格鉴定条例实施细则的通知》（皖价证〔2009〕154号）第五条:县级以上政府价格主管部门所属的价格鉴定机构承担本行政区域内涉案财产的价格鉴定工作。</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政府指导价。依据财政部财综〔2004〕56号；省物价局、省财政厅皖价费〔2005〕328号；省纪委、省发展改革委、省监察厅、省财政厅、省物价局皖纪发〔2011〕12号；《安徽省涉案财产价格鉴定条例》。</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保留</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行政机关</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7日内</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公安机关委托-受理-勘验-调查（采价）-测算——集体审议-出具结论</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涉案财物包括：1.违纪违法案件。2.刑事案件。3.行政处罚等行政执法案件。4.行政诉讼、行政复议案件。5.国家赔偿、国家补偿案件。</w:t>
            </w:r>
          </w:p>
        </w:tc>
        <w:tc>
          <w:tcPr>
            <w:tcW w:w="0" w:type="auto"/>
            <w:tcBorders>
              <w:top w:val="nil"/>
              <w:left w:val="nil"/>
              <w:bottom w:val="single" w:color="auto" w:sz="8" w:space="0"/>
              <w:right w:val="single" w:color="auto" w:sz="8" w:space="0"/>
            </w:tcBorders>
            <w:shd w:val="clear" w:color="auto" w:fill="FFFFFF"/>
            <w:noWrap/>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0"/>
                <w:szCs w:val="20"/>
                <w:u w:val="none"/>
              </w:rPr>
            </w:pPr>
            <w:r>
              <w:rPr>
                <w:rFonts w:hint="eastAsia" w:ascii="黑体" w:hAnsi="宋体" w:eastAsia="黑体" w:cs="黑体"/>
                <w:i w:val="0"/>
                <w:iCs w:val="0"/>
                <w:caps w:val="0"/>
                <w:color w:val="000000"/>
                <w:spacing w:val="0"/>
                <w:kern w:val="0"/>
                <w:sz w:val="20"/>
                <w:szCs w:val="20"/>
                <w:u w:val="none"/>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00" w:hRule="atLeast"/>
        </w:trPr>
        <w:tc>
          <w:tcPr>
            <w:tcW w:w="0" w:type="auto"/>
            <w:tcBorders>
              <w:top w:val="nil"/>
              <w:left w:val="single" w:color="auto" w:sz="8" w:space="0"/>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0"/>
                <w:szCs w:val="20"/>
                <w:u w:val="none"/>
                <w:lang w:val="en-US" w:eastAsia="zh-CN"/>
              </w:rPr>
            </w:pPr>
            <w:r>
              <w:rPr>
                <w:rFonts w:hint="eastAsia" w:ascii="黑体" w:hAnsi="宋体" w:eastAsia="黑体" w:cs="黑体"/>
                <w:i w:val="0"/>
                <w:iCs w:val="0"/>
                <w:caps w:val="0"/>
                <w:color w:val="000000"/>
                <w:spacing w:val="0"/>
                <w:sz w:val="20"/>
                <w:szCs w:val="20"/>
                <w:u w:val="none"/>
                <w:lang w:val="en-US" w:eastAsia="zh-CN"/>
              </w:rPr>
              <w:t>3</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事故车辆检验鉴定</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《道路交通事故处理程序规定》第四十九条 需要进行检验、鉴定的，公安机关交通管理部门应当按照有关规定，自事故现场调查结束之日起三日内委托具备资质的鉴定机构进行检验、鉴定。</w:t>
            </w:r>
            <w:r>
              <w:rPr>
                <w:rFonts w:hint="eastAsia" w:ascii="宋体" w:hAnsi="宋体" w:eastAsia="宋体" w:cs="宋体"/>
                <w:i w:val="0"/>
                <w:iCs w:val="0"/>
                <w:caps w:val="0"/>
                <w:color w:val="auto"/>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20"/>
                <w:szCs w:val="20"/>
                <w:u w:val="none"/>
                <w:bdr w:val="none" w:color="auto" w:sz="0" w:space="0"/>
                <w:lang w:val="en-US" w:eastAsia="zh-CN" w:bidi="ar"/>
              </w:rPr>
              <w:t>尸体检验应当在死亡之日起三日内委托。对交通肇事逃逸车辆的检验、鉴定自查获肇事嫌疑车辆之日起三日内委托。</w:t>
            </w:r>
            <w:r>
              <w:rPr>
                <w:rFonts w:hint="eastAsia" w:ascii="宋体" w:hAnsi="宋体" w:eastAsia="宋体" w:cs="宋体"/>
                <w:i w:val="0"/>
                <w:iCs w:val="0"/>
                <w:caps w:val="0"/>
                <w:color w:val="auto"/>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20"/>
                <w:szCs w:val="20"/>
                <w:u w:val="none"/>
                <w:bdr w:val="none" w:color="auto" w:sz="0" w:space="0"/>
                <w:lang w:val="en-US" w:eastAsia="zh-CN" w:bidi="ar"/>
              </w:rPr>
              <w:t>对现场调查结束之日起三日后需要检验、鉴定的，应当报经上一级公安机关交通管理部门批准。</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公安机关涉及事故车辆处置的行政权力事项</w:t>
            </w:r>
          </w:p>
        </w:tc>
        <w:tc>
          <w:tcPr>
            <w:tcW w:w="433" w:type="dxa"/>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具备安徽省司法厅认证司法鉴定资质</w:t>
            </w:r>
          </w:p>
        </w:tc>
        <w:tc>
          <w:tcPr>
            <w:tcW w:w="2675" w:type="dxa"/>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《司法鉴定机构登记管理办法》（司法部令第95号）第三条：本办法所称的司法鉴定机构是指从事《全国人民代表大会常务委员会关于司法鉴定管理问题的决定》第二条规定的司法鉴定业务的法人或者其他组织。 司法鉴定机构是司法鉴定人的执业机构，应当具备本办法规定的条件，经省级司法行政机关审核登记，取得《司法鉴定许可证》，在登记的司法鉴定业务范围内，开展司法鉴定活动。第八条：司法鉴定机构统一接受委托，组织所属的司法鉴定人开展司法鉴定活动，遵守法律、法规和有关制度，执行统一的司法鉴定实施程序、技术标准和技术操作规范。</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政府指导价。依据安徽省物价局、司法厅《关于重新明确我省司法鉴定服务收费有关问题的通知》（皖价服〔2016〕138号）。</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保留</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行政机关</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30日内</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同意检验鉴定——了解事故情形 ——初步分析事故缘故——形成检验鉴定方案——分析、结论，编写鉴定书 ——审核批准盖章——提交技术检验鉴定书</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公安机关交通管理部门委托鉴定机构</w:t>
            </w:r>
          </w:p>
        </w:tc>
        <w:tc>
          <w:tcPr>
            <w:tcW w:w="0" w:type="auto"/>
            <w:tcBorders>
              <w:top w:val="nil"/>
              <w:left w:val="nil"/>
              <w:bottom w:val="single" w:color="auto" w:sz="8" w:space="0"/>
              <w:right w:val="single" w:color="auto" w:sz="8" w:space="0"/>
            </w:tcBorders>
            <w:shd w:val="clear" w:color="auto" w:fill="FFFFFF"/>
            <w:noWrap/>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0"/>
                <w:szCs w:val="20"/>
                <w:u w:val="none"/>
              </w:rPr>
            </w:pPr>
            <w:r>
              <w:rPr>
                <w:rFonts w:hint="eastAsia" w:ascii="黑体" w:hAnsi="宋体" w:eastAsia="黑体" w:cs="黑体"/>
                <w:i w:val="0"/>
                <w:iCs w:val="0"/>
                <w:caps w:val="0"/>
                <w:color w:val="000000"/>
                <w:spacing w:val="0"/>
                <w:kern w:val="0"/>
                <w:sz w:val="20"/>
                <w:szCs w:val="20"/>
                <w:u w:val="none"/>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65" w:hRule="atLeast"/>
        </w:trPr>
        <w:tc>
          <w:tcPr>
            <w:tcW w:w="0" w:type="auto"/>
            <w:tcBorders>
              <w:top w:val="nil"/>
              <w:left w:val="single" w:color="auto" w:sz="8" w:space="0"/>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0"/>
                <w:szCs w:val="20"/>
                <w:u w:val="none"/>
                <w:lang w:val="en-US" w:eastAsia="zh-CN"/>
              </w:rPr>
            </w:pPr>
            <w:r>
              <w:rPr>
                <w:rFonts w:hint="eastAsia" w:ascii="黑体" w:hAnsi="宋体" w:eastAsia="黑体" w:cs="黑体"/>
                <w:i w:val="0"/>
                <w:iCs w:val="0"/>
                <w:caps w:val="0"/>
                <w:color w:val="000000"/>
                <w:spacing w:val="0"/>
                <w:sz w:val="20"/>
                <w:szCs w:val="20"/>
                <w:u w:val="none"/>
                <w:lang w:val="en-US" w:eastAsia="zh-CN"/>
              </w:rPr>
              <w:t>4</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机动车安全技术检验合格证明出具</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1.《机动车登记规定》第四十九条：机动车所有人可以在机动车检验有效期满前三个月内向登记地车辆管理所申请检验合格标志。申请前，机动车所有人应当将涉及该车的道路交通安全违法行为和交通事故处理完毕。申请时，机动车所有人应当填写申请表并提交行驶证、机动车交通事故责任强制保险凭证、车船税纳税或者免税证明、机动车安全技术检验合格证明。车辆管理所应当自受理之日起一日内，确认机动车，审查提交的证明、凭证，核发检验合格标志。</w:t>
            </w:r>
            <w:r>
              <w:rPr>
                <w:rFonts w:hint="eastAsia" w:ascii="宋体" w:hAnsi="宋体" w:eastAsia="宋体" w:cs="宋体"/>
                <w:i w:val="0"/>
                <w:iCs w:val="0"/>
                <w:caps w:val="0"/>
                <w:color w:val="auto"/>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20"/>
                <w:szCs w:val="20"/>
                <w:u w:val="none"/>
                <w:bdr w:val="none" w:color="auto" w:sz="0" w:space="0"/>
                <w:lang w:val="en-US" w:eastAsia="zh-CN" w:bidi="ar"/>
              </w:rPr>
              <w:t>2.《中华人民共和国道路交通安全法实施条例》第十五条：机动车安全技术检验由机动车安全技术检验机构实施。机动车安全技术检验机构应当按照国家机动车安全技术检验标准对机动车进行检验，对检验结果承担法律责任。</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机动车检验合格标志核发</w:t>
            </w:r>
          </w:p>
        </w:tc>
        <w:tc>
          <w:tcPr>
            <w:tcW w:w="433" w:type="dxa"/>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具备相应资质的检验机构</w:t>
            </w:r>
          </w:p>
        </w:tc>
        <w:tc>
          <w:tcPr>
            <w:tcW w:w="2675" w:type="dxa"/>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《机动车安全技术检验机构监督管理办法 》（质检总局令第121号）第七条：国家对安检机构实行资格管理和计量认证管理。安检机构应当依照国家有关法律法规的规定，取得计量认证、检验资格许可后，方可在批准的检验范围内承担机动车安全技术检验。省级质量技术监督部门负责实施本行政区域内安检机构检验资格许可申请的受理、审查、决定和发证。</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000000"/>
                <w:spacing w:val="0"/>
                <w:sz w:val="20"/>
                <w:szCs w:val="20"/>
                <w:u w:val="none"/>
              </w:rPr>
            </w:pPr>
            <w:r>
              <w:rPr>
                <w:rFonts w:hint="eastAsia" w:ascii="宋体" w:hAnsi="宋体" w:eastAsia="宋体" w:cs="宋体"/>
                <w:i w:val="0"/>
                <w:iCs w:val="0"/>
                <w:caps w:val="0"/>
                <w:color w:val="000000"/>
                <w:spacing w:val="0"/>
                <w:kern w:val="0"/>
                <w:sz w:val="20"/>
                <w:szCs w:val="20"/>
                <w:u w:val="none"/>
                <w:bdr w:val="none" w:color="auto" w:sz="0" w:space="0"/>
                <w:lang w:val="en-US" w:eastAsia="zh-CN" w:bidi="ar"/>
              </w:rPr>
              <w:t>市场自主调节价格</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保留</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行政相对人</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当场办结</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1.车辆至检验机构检测。</w:t>
            </w:r>
            <w:r>
              <w:rPr>
                <w:rFonts w:hint="eastAsia" w:ascii="宋体" w:hAnsi="宋体" w:eastAsia="宋体" w:cs="宋体"/>
                <w:i w:val="0"/>
                <w:iCs w:val="0"/>
                <w:caps w:val="0"/>
                <w:color w:val="auto"/>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20"/>
                <w:szCs w:val="20"/>
                <w:u w:val="none"/>
                <w:bdr w:val="none" w:color="auto" w:sz="0" w:space="0"/>
                <w:lang w:val="en-US" w:eastAsia="zh-CN" w:bidi="ar"/>
              </w:rPr>
              <w:t>2.业务受理</w:t>
            </w:r>
            <w:r>
              <w:rPr>
                <w:rFonts w:hint="eastAsia" w:ascii="宋体" w:hAnsi="宋体" w:eastAsia="宋体" w:cs="宋体"/>
                <w:i w:val="0"/>
                <w:iCs w:val="0"/>
                <w:caps w:val="0"/>
                <w:color w:val="auto"/>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20"/>
                <w:szCs w:val="20"/>
                <w:u w:val="none"/>
                <w:bdr w:val="none" w:color="auto" w:sz="0" w:space="0"/>
                <w:lang w:val="en-US" w:eastAsia="zh-CN" w:bidi="ar"/>
              </w:rPr>
              <w:t>3.领取行驶证和机动车检验合格标志。</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1.机动车所有人应当将该车道路交通安全违法行为和交通事故处理完毕。2.机动车检验合格标志灭失、丢失或损毁。3.机动车所有人向登记地车辆管理所申请委托核发检验合格标志。</w:t>
            </w:r>
          </w:p>
        </w:tc>
        <w:tc>
          <w:tcPr>
            <w:tcW w:w="0" w:type="auto"/>
            <w:tcBorders>
              <w:top w:val="nil"/>
              <w:left w:val="nil"/>
              <w:bottom w:val="single" w:color="auto" w:sz="8" w:space="0"/>
              <w:right w:val="single" w:color="auto" w:sz="8" w:space="0"/>
            </w:tcBorders>
            <w:shd w:val="clear" w:color="auto" w:fill="FFFFFF"/>
            <w:noWrap/>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0"/>
                <w:szCs w:val="20"/>
                <w:u w:val="none"/>
              </w:rPr>
            </w:pPr>
            <w:r>
              <w:rPr>
                <w:rFonts w:hint="eastAsia" w:ascii="黑体" w:hAnsi="宋体" w:eastAsia="黑体" w:cs="黑体"/>
                <w:i w:val="0"/>
                <w:iCs w:val="0"/>
                <w:caps w:val="0"/>
                <w:color w:val="000000"/>
                <w:spacing w:val="0"/>
                <w:kern w:val="0"/>
                <w:sz w:val="20"/>
                <w:szCs w:val="20"/>
                <w:u w:val="none"/>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00" w:hRule="atLeast"/>
        </w:trPr>
        <w:tc>
          <w:tcPr>
            <w:tcW w:w="0" w:type="auto"/>
            <w:tcBorders>
              <w:top w:val="nil"/>
              <w:left w:val="single" w:color="auto" w:sz="8" w:space="0"/>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0"/>
                <w:szCs w:val="20"/>
                <w:u w:val="none"/>
                <w:lang w:val="en-US" w:eastAsia="zh-CN"/>
              </w:rPr>
            </w:pPr>
            <w:r>
              <w:rPr>
                <w:rFonts w:hint="eastAsia" w:ascii="黑体" w:hAnsi="宋体" w:eastAsia="黑体" w:cs="黑体"/>
                <w:i w:val="0"/>
                <w:iCs w:val="0"/>
                <w:caps w:val="0"/>
                <w:color w:val="000000"/>
                <w:spacing w:val="0"/>
                <w:sz w:val="20"/>
                <w:szCs w:val="20"/>
                <w:u w:val="none"/>
                <w:lang w:val="en-US" w:eastAsia="zh-CN"/>
              </w:rPr>
              <w:t>5</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驾驶人体内血液内酒精含量检测</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公安部关于修改《道路交通安全违法行为处理程序规定》的决定》（公安部157号令）第三十六条：对车辆驾驶人进行体内酒精含量检验的，应当按照下列程序实施：（一）由两名交通警察或者由一名交通警察带领警务辅助人员将车辆驾驶人带到医疗机构提取血样，或者现场由法医等具有相应资质的人员提取血样；（二）公安机关交通管理部门应当在提取血样后五日内将血样送交有检验资格的单位或者机构进行检验，并在收到检验结果后五日内书面告知车辆驾驶人。检验车辆驾驶人体内酒精含量的，应当通知其家属，但无法通知的除外。车辆驾驶人对检验结果有异议的，可以在收到检验结果之日起三日内申请重新检验。</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公安机关涉及饮酒后驾驶机动车辆行为监管的行政权力事项</w:t>
            </w:r>
          </w:p>
        </w:tc>
        <w:tc>
          <w:tcPr>
            <w:tcW w:w="433" w:type="dxa"/>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具备相应资质的检验机构</w:t>
            </w:r>
          </w:p>
        </w:tc>
        <w:tc>
          <w:tcPr>
            <w:tcW w:w="2675" w:type="dxa"/>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《司法鉴定机构登记管理办法》（司法部令第95号）第三条：本办法所称的司法鉴定机构是指从事《全国人民代表大会常务委员会关于司法鉴定管理问题的决定》第二条规定的司法鉴定业务的法人或者其他组织。 司法鉴定机构是司法鉴定人的执业机构，应当具备本办法规定的条件，经省级司法行政机关审核登记，取得《司法鉴定许可证》，在登记的司法鉴定业务范围内，开展司法鉴定活动。第八条：司法鉴定机构统一接受委托，组织所属的司法鉴定人开展司法鉴定活动，遵守法律、法规和有关制度，执行统一的司法鉴定实施程序、技术标准和技术操作规范。</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政府指导价。依据安徽省物价局、司法厅《关于重新明确我省司法鉴定服务收费有关问题的通知》（皖价服〔2016〕138号）。</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保留</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行政机关</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5日内</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1.呼气酒精检测：交通警察对酒后驾驶人进行呼气酒精测试——交警打印书面测试结果——当事人签名——交警签名或盖章——当事人对测试结果有异议或拒绝签名的，交警应当在书面测试结果上注明。</w:t>
            </w:r>
            <w:r>
              <w:rPr>
                <w:rFonts w:hint="eastAsia" w:ascii="宋体" w:hAnsi="宋体" w:eastAsia="宋体" w:cs="宋体"/>
                <w:i w:val="0"/>
                <w:iCs w:val="0"/>
                <w:caps w:val="0"/>
                <w:color w:val="auto"/>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20"/>
                <w:szCs w:val="20"/>
                <w:u w:val="none"/>
                <w:bdr w:val="none" w:color="auto" w:sz="0" w:space="0"/>
                <w:lang w:val="en-US" w:eastAsia="zh-CN" w:bidi="ar"/>
              </w:rPr>
              <w:t>2.抽血检测流程：（1）由不少两名交通警察将当事人带至医疗机构或具备资格的检测机构或由上述机构派出人员抽血，并对抽血过程全程监督。（2）抽取血样应由专业人员按要求进行，交警应告知抽血人员抽取2份血样，一份备案，一份送检。（3）填写《抽取当事人血样登记表》，并由交警签字或盖章。（4）抽取的血样应及时送检，不能及时送检的，应低温保存。对酒后行为失控或拒绝配合抽血的，可使用约束带或警绳等约束性警械。</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top"/>
          </w:tcPr>
          <w:p>
            <w:pPr>
              <w:keepNext w:val="0"/>
              <w:keepLines w:val="0"/>
              <w:widowControl/>
              <w:suppressLineNumbers w:val="0"/>
              <w:spacing w:before="0" w:beforeAutospacing="0" w:after="0" w:afterAutospacing="0" w:line="264" w:lineRule="atLeast"/>
              <w:ind w:left="0" w:right="0"/>
              <w:jc w:val="left"/>
              <w:textAlignment w:val="top"/>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1.饮酒后驾驶车辆的驾驶人员。</w:t>
            </w:r>
            <w:r>
              <w:rPr>
                <w:rFonts w:hint="eastAsia" w:ascii="宋体" w:hAnsi="宋体" w:eastAsia="宋体" w:cs="宋体"/>
                <w:i w:val="0"/>
                <w:iCs w:val="0"/>
                <w:caps w:val="0"/>
                <w:color w:val="auto"/>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20"/>
                <w:szCs w:val="20"/>
                <w:u w:val="none"/>
                <w:bdr w:val="none" w:color="auto" w:sz="0" w:space="0"/>
                <w:lang w:val="en-US" w:eastAsia="zh-CN" w:bidi="ar"/>
              </w:rPr>
              <w:t>2.具有下列情形之一的，抽取血样检测：（1）呼气酒精测试结果达到或超过醉酒驾驶标准的；（2）对呼气酒精测试结果有异议的；（3）拒绝配合呼气酒精测试等方法检测的；（4）发生交通事故的。</w:t>
            </w:r>
          </w:p>
        </w:tc>
        <w:tc>
          <w:tcPr>
            <w:tcW w:w="0" w:type="auto"/>
            <w:tcBorders>
              <w:top w:val="nil"/>
              <w:left w:val="nil"/>
              <w:bottom w:val="single" w:color="auto" w:sz="8" w:space="0"/>
              <w:right w:val="single" w:color="auto" w:sz="8" w:space="0"/>
            </w:tcBorders>
            <w:shd w:val="clear" w:color="auto" w:fill="FFFFFF"/>
            <w:noWrap/>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0"/>
                <w:szCs w:val="20"/>
                <w:u w:val="none"/>
              </w:rPr>
            </w:pPr>
            <w:r>
              <w:rPr>
                <w:rFonts w:hint="eastAsia" w:ascii="黑体" w:hAnsi="宋体" w:eastAsia="黑体" w:cs="黑体"/>
                <w:i w:val="0"/>
                <w:iCs w:val="0"/>
                <w:caps w:val="0"/>
                <w:color w:val="000000"/>
                <w:spacing w:val="0"/>
                <w:kern w:val="0"/>
                <w:sz w:val="20"/>
                <w:szCs w:val="20"/>
                <w:u w:val="none"/>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00" w:hRule="atLeast"/>
        </w:trPr>
        <w:tc>
          <w:tcPr>
            <w:tcW w:w="0" w:type="auto"/>
            <w:tcBorders>
              <w:top w:val="nil"/>
              <w:left w:val="single" w:color="auto" w:sz="8" w:space="0"/>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0"/>
                <w:szCs w:val="20"/>
                <w:u w:val="none"/>
                <w:lang w:val="en-US" w:eastAsia="zh-CN"/>
              </w:rPr>
            </w:pPr>
            <w:r>
              <w:rPr>
                <w:rFonts w:hint="eastAsia" w:ascii="黑体" w:hAnsi="宋体" w:eastAsia="黑体" w:cs="黑体"/>
                <w:i w:val="0"/>
                <w:iCs w:val="0"/>
                <w:caps w:val="0"/>
                <w:color w:val="000000"/>
                <w:spacing w:val="0"/>
                <w:sz w:val="20"/>
                <w:szCs w:val="20"/>
                <w:u w:val="none"/>
                <w:lang w:val="en-US" w:eastAsia="zh-CN"/>
              </w:rPr>
              <w:t>6</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国家管制的精神药品或者麻醉药品测试、检验</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公安部关于修改《道路交通安全违法行为处理程序规定》的决定》（公安部157号令）第三十五条：车辆驾驶人涉嫌吸食、注射毒品或者服用国家管制的精神药品、麻醉药品后驾驶车辆的，应当按照《吸毒检测程序规定》对车辆驾驶人进行吸毒检测，并通知其家属，但无法通知的除外。</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公安机关涉及车辆驾驶人违法使用国家管制的精神药品、麻醉药品的行政权力事项</w:t>
            </w:r>
          </w:p>
        </w:tc>
        <w:tc>
          <w:tcPr>
            <w:tcW w:w="433" w:type="dxa"/>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具备相应资质的检验机构</w:t>
            </w:r>
          </w:p>
        </w:tc>
        <w:tc>
          <w:tcPr>
            <w:tcW w:w="2675" w:type="dxa"/>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《司法鉴定机构登记管理办法》（司法部令第95号）第三条：本办法所称的司法鉴定机构是指从事《全国人民代表大会常务委员会关于司法鉴定管理问题的决定》第二条规定的司法鉴定业务的法人或者其他组织。 司法鉴定机构是司法鉴定人的执业机构，应当具备本办法规定的条件，经省级司法行政机关审核登记，取得《司法鉴定许可证》，在登记的司法鉴定业务范围内，开展司法鉴定活动。第八条：司法鉴定机构统一接受委托，组织所属的司法鉴定人开展司法鉴定活动，遵守法律、法规和有关制度，执行统一的司法鉴定实施程序、技术标准和技术操作规范。</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政府指导价。依据安徽省物价局、司法厅《关于重新明确我省司法鉴定服务收费有关问题的通知》（皖价服〔2016〕138号）。</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保留</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行政机关</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一般不超过20日。超过20日的，应当报上一级公安交警部门批准。</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1.交通警察应当将当事人带至医疗机构进行抽血或提取尿样；2.公安机关交通管理部门应当将抽取的血液或提取的尿样及时送交检验机构进行检验。3.检验机构将检验结果书面告知当事人。4.对车辆驾驶人进行吸毒检测的，应当通知其家属，但无法通知的除外。</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车辆驾驶人涉嫌吸食、注射毒品或者服用国家管制的精神药品、麻醉药品后驾驶车辆的，应当按照《吸毒检测程序规定》对车辆驾驶人进行吸毒检测。</w:t>
            </w:r>
          </w:p>
        </w:tc>
        <w:tc>
          <w:tcPr>
            <w:tcW w:w="0" w:type="auto"/>
            <w:tcBorders>
              <w:top w:val="nil"/>
              <w:left w:val="nil"/>
              <w:bottom w:val="single" w:color="auto" w:sz="8" w:space="0"/>
              <w:right w:val="single" w:color="auto" w:sz="8" w:space="0"/>
            </w:tcBorders>
            <w:shd w:val="clear" w:color="auto" w:fill="FFFFFF"/>
            <w:noWrap/>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0"/>
                <w:szCs w:val="20"/>
                <w:u w:val="none"/>
              </w:rPr>
            </w:pPr>
            <w:r>
              <w:rPr>
                <w:rFonts w:hint="eastAsia" w:ascii="黑体" w:hAnsi="宋体" w:eastAsia="黑体" w:cs="黑体"/>
                <w:i w:val="0"/>
                <w:iCs w:val="0"/>
                <w:caps w:val="0"/>
                <w:color w:val="000000"/>
                <w:spacing w:val="0"/>
                <w:kern w:val="0"/>
                <w:sz w:val="20"/>
                <w:szCs w:val="20"/>
                <w:u w:val="none"/>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0" w:hRule="atLeast"/>
        </w:trPr>
        <w:tc>
          <w:tcPr>
            <w:tcW w:w="0" w:type="auto"/>
            <w:tcBorders>
              <w:top w:val="nil"/>
              <w:left w:val="single" w:color="auto" w:sz="8" w:space="0"/>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0"/>
                <w:szCs w:val="20"/>
                <w:u w:val="none"/>
                <w:lang w:val="en-US" w:eastAsia="zh-CN"/>
              </w:rPr>
            </w:pPr>
            <w:r>
              <w:rPr>
                <w:rFonts w:hint="eastAsia" w:ascii="黑体" w:hAnsi="宋体" w:eastAsia="黑体" w:cs="黑体"/>
                <w:i w:val="0"/>
                <w:iCs w:val="0"/>
                <w:caps w:val="0"/>
                <w:color w:val="000000"/>
                <w:spacing w:val="0"/>
                <w:sz w:val="20"/>
                <w:szCs w:val="20"/>
                <w:u w:val="none"/>
                <w:lang w:val="en-US" w:eastAsia="zh-CN"/>
              </w:rPr>
              <w:t>7</w:t>
            </w:r>
            <w:bookmarkStart w:id="0" w:name="_GoBack"/>
            <w:bookmarkEnd w:id="0"/>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精神病鉴定</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《公安机关办理行政案件程序规定》第八十九条 对人身伤害的鉴定由法医进行。卫生行政主管部门许可的医疗机构具有执业资格的医生出具的诊断证明，可以作为公安机关认定人身伤害程度的依据，但具有本规定第九十条规定情形的除外。对精神病的鉴定，由有精神病鉴定资格的鉴定机构进行。</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公安机关涉及精神病人鉴定的行政权力事项</w:t>
            </w:r>
          </w:p>
        </w:tc>
        <w:tc>
          <w:tcPr>
            <w:tcW w:w="433" w:type="dxa"/>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具备精神疾病鉴定资质的鉴定机构</w:t>
            </w:r>
          </w:p>
        </w:tc>
        <w:tc>
          <w:tcPr>
            <w:tcW w:w="2675" w:type="dxa"/>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《司法鉴定机构登记管理办法》（司法部令第95号）第三条：本办法所称的司法鉴定机构是指从事《全国人民代表大会常务委员会关于司法鉴定管理问题的决定》第二条规定的司法鉴定业务的法人或者其他组织。 司法鉴定机构是司法鉴定人的执业机构，应当具备本办法规定的条件，经省级司法行政机关审核登记，取得《司法鉴定许可证》，在登记的司法鉴定业务范围内，开展司法鉴定活动。第八条：司法鉴定机构统一接受委托，组织所属的司法鉴定人开展司法鉴定活动，遵守法律、法规和有关制度，执行统一的司法鉴定实施程序、技术标准和技术操作规范。</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政府指导价。依据安徽省物价局、司法厅《关于重新明确我省司法鉴定服务收费有关问题的通知》（皖价服〔2016〕138号）。</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保留</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行政机关</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1个月内</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1.办案机关或违法人员（监护人）向鉴定机构提出申请，并提交相关申请材料、缴纳费用。</w:t>
            </w:r>
            <w:r>
              <w:rPr>
                <w:rFonts w:hint="eastAsia" w:ascii="宋体" w:hAnsi="宋体" w:eastAsia="宋体" w:cs="宋体"/>
                <w:i w:val="0"/>
                <w:iCs w:val="0"/>
                <w:caps w:val="0"/>
                <w:color w:val="auto"/>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20"/>
                <w:szCs w:val="20"/>
                <w:u w:val="none"/>
                <w:bdr w:val="none" w:color="auto" w:sz="0" w:space="0"/>
                <w:lang w:val="en-US" w:eastAsia="zh-CN" w:bidi="ar"/>
              </w:rPr>
              <w:t>2.精神病鉴定机构受理，不予受理的说明不受理的理由。</w:t>
            </w:r>
            <w:r>
              <w:rPr>
                <w:rFonts w:hint="eastAsia" w:ascii="宋体" w:hAnsi="宋体" w:eastAsia="宋体" w:cs="宋体"/>
                <w:i w:val="0"/>
                <w:iCs w:val="0"/>
                <w:caps w:val="0"/>
                <w:color w:val="auto"/>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20"/>
                <w:szCs w:val="20"/>
                <w:u w:val="none"/>
                <w:bdr w:val="none" w:color="auto" w:sz="0" w:space="0"/>
                <w:lang w:val="en-US" w:eastAsia="zh-CN" w:bidi="ar"/>
              </w:rPr>
              <w:t>3.决定受理的，向委托人出具《鉴定委托受理合同》。</w:t>
            </w:r>
          </w:p>
        </w:tc>
        <w:tc>
          <w:tcPr>
            <w:tcW w:w="0" w:type="auto"/>
            <w:tcBorders>
              <w:top w:val="nil"/>
              <w:left w:val="nil"/>
              <w:bottom w:val="single" w:color="auto" w:sz="8" w:space="0"/>
              <w:right w:val="single" w:color="auto" w:sz="8" w:space="0"/>
            </w:tcBorders>
            <w:shd w:val="clear" w:color="auto" w:fill="FFFFFF"/>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left"/>
              <w:textAlignment w:val="center"/>
              <w:rPr>
                <w:rFonts w:hint="eastAsia" w:ascii="宋体" w:hAnsi="宋体" w:eastAsia="宋体" w:cs="宋体"/>
                <w:i w:val="0"/>
                <w:iCs w:val="0"/>
                <w:caps w:val="0"/>
                <w:color w:val="auto"/>
                <w:spacing w:val="0"/>
                <w:sz w:val="20"/>
                <w:szCs w:val="20"/>
                <w:u w:val="none"/>
              </w:rPr>
            </w:pPr>
            <w:r>
              <w:rPr>
                <w:rFonts w:hint="eastAsia" w:ascii="宋体" w:hAnsi="宋体" w:eastAsia="宋体" w:cs="宋体"/>
                <w:i w:val="0"/>
                <w:iCs w:val="0"/>
                <w:caps w:val="0"/>
                <w:color w:val="auto"/>
                <w:spacing w:val="0"/>
                <w:kern w:val="0"/>
                <w:sz w:val="20"/>
                <w:szCs w:val="20"/>
                <w:u w:val="none"/>
                <w:bdr w:val="none" w:color="auto" w:sz="0" w:space="0"/>
                <w:lang w:val="en-US" w:eastAsia="zh-CN" w:bidi="ar"/>
              </w:rPr>
              <w:t>由公安机关或</w:t>
            </w:r>
            <w:r>
              <w:rPr>
                <w:rFonts w:hint="eastAsia" w:ascii="宋体" w:hAnsi="宋体" w:eastAsia="宋体" w:cs="宋体"/>
                <w:i w:val="0"/>
                <w:iCs w:val="0"/>
                <w:caps w:val="0"/>
                <w:color w:val="auto"/>
                <w:spacing w:val="0"/>
                <w:kern w:val="0"/>
                <w:sz w:val="20"/>
                <w:szCs w:val="20"/>
                <w:u w:val="none"/>
                <w:bdr w:val="none" w:color="auto" w:sz="0" w:space="0"/>
                <w:lang w:val="en-US" w:eastAsia="zh-CN" w:bidi="ar"/>
              </w:rPr>
              <w:br w:type="textWrapping"/>
            </w:r>
            <w:r>
              <w:rPr>
                <w:rFonts w:hint="eastAsia" w:ascii="宋体" w:hAnsi="宋体" w:eastAsia="宋体" w:cs="宋体"/>
                <w:i w:val="0"/>
                <w:iCs w:val="0"/>
                <w:caps w:val="0"/>
                <w:color w:val="auto"/>
                <w:spacing w:val="0"/>
                <w:kern w:val="0"/>
                <w:sz w:val="20"/>
                <w:szCs w:val="20"/>
                <w:u w:val="none"/>
                <w:bdr w:val="none" w:color="auto" w:sz="0" w:space="0"/>
                <w:lang w:val="en-US" w:eastAsia="zh-CN" w:bidi="ar"/>
              </w:rPr>
              <w:t>违法人员（监护人）进行委托、提出申请</w:t>
            </w:r>
          </w:p>
        </w:tc>
        <w:tc>
          <w:tcPr>
            <w:tcW w:w="0" w:type="auto"/>
            <w:tcBorders>
              <w:top w:val="nil"/>
              <w:left w:val="nil"/>
              <w:bottom w:val="single" w:color="auto" w:sz="8" w:space="0"/>
              <w:right w:val="single" w:color="auto" w:sz="8" w:space="0"/>
            </w:tcBorders>
            <w:shd w:val="clear" w:color="auto" w:fill="FFFFFF"/>
            <w:noWrap/>
            <w:tcMar>
              <w:top w:w="12" w:type="dxa"/>
              <w:left w:w="12" w:type="dxa"/>
              <w:bottom w:w="60" w:type="dxa"/>
              <w:right w:w="12" w:type="dxa"/>
            </w:tcMar>
            <w:vAlign w:val="center"/>
          </w:tcPr>
          <w:p>
            <w:pPr>
              <w:keepNext w:val="0"/>
              <w:keepLines w:val="0"/>
              <w:widowControl/>
              <w:suppressLineNumbers w:val="0"/>
              <w:spacing w:before="0" w:beforeAutospacing="0" w:after="0" w:afterAutospacing="0" w:line="264" w:lineRule="atLeast"/>
              <w:ind w:left="0" w:right="0"/>
              <w:jc w:val="center"/>
              <w:textAlignment w:val="center"/>
              <w:rPr>
                <w:rFonts w:hint="eastAsia" w:ascii="黑体" w:hAnsi="宋体" w:eastAsia="黑体" w:cs="黑体"/>
                <w:i w:val="0"/>
                <w:iCs w:val="0"/>
                <w:caps w:val="0"/>
                <w:color w:val="000000"/>
                <w:spacing w:val="0"/>
                <w:sz w:val="20"/>
                <w:szCs w:val="20"/>
                <w:u w:val="none"/>
              </w:rPr>
            </w:pPr>
            <w:r>
              <w:rPr>
                <w:rFonts w:hint="eastAsia" w:ascii="黑体" w:hAnsi="宋体" w:eastAsia="黑体" w:cs="黑体"/>
                <w:i w:val="0"/>
                <w:iCs w:val="0"/>
                <w:caps w:val="0"/>
                <w:color w:val="000000"/>
                <w:spacing w:val="0"/>
                <w:kern w:val="0"/>
                <w:sz w:val="20"/>
                <w:szCs w:val="20"/>
                <w:u w:val="none"/>
                <w:bdr w:val="none" w:color="auto" w:sz="0" w:space="0"/>
                <w:lang w:val="en-US" w:eastAsia="zh-CN" w:bidi="ar"/>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1MTUwNTBhMzU3ZDQzNTBjMDUyZTBkNWJmYWUzOGEifQ=="/>
  </w:docVars>
  <w:rsids>
    <w:rsidRoot w:val="00000000"/>
    <w:rsid w:val="35F85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2024-01-11T08:22:12Z</dcterms:created>
  <dc:creator>Administrator</dc:creator>
  <cp:lastModifiedBy>Administrator</cp:lastModifiedBy>
  <dcterms:modified xsi:type="dcterms:W3CDTF">2024-01-11T08:34:06Z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CFC8DFB8781A483BB5CCBF66974B28C6_12</vt:lpwstr>
  </property>
</Properties>
</file>