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b/>
          <w:sz w:val="44"/>
          <w:szCs w:val="44"/>
        </w:rPr>
      </w:pPr>
    </w:p>
    <w:p>
      <w:pPr>
        <w:jc w:val="both"/>
        <w:rPr>
          <w:rFonts w:hint="eastAsia" w:asciiTheme="minorEastAsia" w:hAnsiTheme="minorEastAsia"/>
          <w:b/>
          <w:sz w:val="44"/>
          <w:szCs w:val="44"/>
        </w:rPr>
      </w:pPr>
    </w:p>
    <w:p>
      <w:pPr>
        <w:jc w:val="both"/>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lang w:val="en-US" w:eastAsia="zh-CN"/>
        </w:rPr>
        <w:t xml:space="preserve">  </w:t>
      </w:r>
      <w:r>
        <w:rPr>
          <w:rFonts w:hint="eastAsia" w:asciiTheme="minorEastAsia" w:hAnsiTheme="minorEastAsia"/>
          <w:b/>
          <w:sz w:val="44"/>
          <w:szCs w:val="44"/>
        </w:rPr>
        <w:t>202</w:t>
      </w:r>
      <w:r>
        <w:rPr>
          <w:rFonts w:hint="eastAsia" w:asciiTheme="minorEastAsia" w:hAnsiTheme="minorEastAsia"/>
          <w:b/>
          <w:sz w:val="44"/>
          <w:szCs w:val="44"/>
          <w:lang w:val="en-US" w:eastAsia="zh-CN"/>
        </w:rPr>
        <w:t>3</w:t>
      </w:r>
      <w:r>
        <w:rPr>
          <w:rFonts w:hint="eastAsia" w:asciiTheme="minorEastAsia" w:hAnsiTheme="minorEastAsia"/>
          <w:b/>
          <w:sz w:val="44"/>
          <w:szCs w:val="44"/>
        </w:rPr>
        <w:t>年寿县</w:t>
      </w:r>
      <w:r>
        <w:rPr>
          <w:rFonts w:hint="eastAsia" w:asciiTheme="minorEastAsia" w:hAnsiTheme="minorEastAsia"/>
          <w:b/>
          <w:sz w:val="44"/>
          <w:szCs w:val="44"/>
          <w:lang w:eastAsia="zh-CN"/>
        </w:rPr>
        <w:t>养老中心退休人员退休费及伙食补助费</w:t>
      </w:r>
      <w:r>
        <w:rPr>
          <w:rFonts w:hint="eastAsia" w:asciiTheme="minorEastAsia" w:hAnsiTheme="minorEastAsia"/>
          <w:b/>
          <w:sz w:val="44"/>
          <w:szCs w:val="44"/>
        </w:rPr>
        <w:t>绩效自评报告</w:t>
      </w:r>
    </w:p>
    <w:p>
      <w:pPr>
        <w:jc w:val="left"/>
        <w:rPr>
          <w:rFonts w:ascii="仿宋_GB2312" w:eastAsia="仿宋_GB2312"/>
          <w:sz w:val="18"/>
          <w:szCs w:val="18"/>
        </w:rPr>
      </w:pPr>
    </w:p>
    <w:p>
      <w:pPr>
        <w:ind w:firstLine="640" w:firstLineChars="200"/>
        <w:jc w:val="left"/>
        <w:rPr>
          <w:rFonts w:ascii="仿宋_GB2312" w:eastAsia="仿宋_GB2312"/>
          <w:sz w:val="32"/>
          <w:szCs w:val="32"/>
        </w:rPr>
      </w:pPr>
      <w:r>
        <w:rPr>
          <w:rFonts w:hint="eastAsia" w:ascii="仿宋_GB2312" w:eastAsia="仿宋_GB2312"/>
          <w:sz w:val="32"/>
          <w:szCs w:val="32"/>
        </w:rPr>
        <w:t>根据《中共寿县县委寿县人民政府关于全面实施预算绩效管理的落实意见》（寿发〔2019〕20号）要求现将寿县</w:t>
      </w:r>
      <w:r>
        <w:rPr>
          <w:rFonts w:hint="eastAsia" w:ascii="仿宋_GB2312" w:eastAsia="仿宋_GB2312"/>
          <w:sz w:val="32"/>
          <w:szCs w:val="32"/>
          <w:lang w:eastAsia="zh-CN"/>
        </w:rPr>
        <w:t>养老中心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年度部门绩效自评情况报告如下：</w:t>
      </w:r>
    </w:p>
    <w:p>
      <w:pPr>
        <w:numPr>
          <w:ilvl w:val="0"/>
          <w:numId w:val="1"/>
        </w:numPr>
        <w:ind w:firstLine="640" w:firstLineChars="200"/>
        <w:jc w:val="left"/>
        <w:rPr>
          <w:rFonts w:hint="eastAsia" w:ascii="黑体" w:eastAsia="黑体"/>
          <w:sz w:val="32"/>
          <w:szCs w:val="32"/>
        </w:rPr>
      </w:pPr>
      <w:r>
        <w:rPr>
          <w:rFonts w:hint="eastAsia" w:ascii="黑体" w:eastAsia="黑体"/>
          <w:sz w:val="32"/>
          <w:szCs w:val="32"/>
          <w:lang w:eastAsia="zh-CN"/>
        </w:rPr>
        <w:t>项目</w:t>
      </w:r>
      <w:r>
        <w:rPr>
          <w:rFonts w:hint="eastAsia" w:ascii="黑体" w:eastAsia="黑体"/>
          <w:sz w:val="32"/>
          <w:szCs w:val="32"/>
        </w:rPr>
        <w:t>基本情况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根据省劳动和社会保障厅、财政厅劳社</w:t>
      </w:r>
      <w:r>
        <w:rPr>
          <w:rFonts w:hint="eastAsia" w:ascii="仿宋_GB2312" w:eastAsia="仿宋_GB2312"/>
          <w:sz w:val="32"/>
          <w:szCs w:val="32"/>
        </w:rPr>
        <w:t>〔</w:t>
      </w:r>
      <w:r>
        <w:rPr>
          <w:rFonts w:hint="eastAsia" w:ascii="仿宋_GB2312" w:eastAsia="仿宋_GB2312"/>
          <w:sz w:val="32"/>
          <w:szCs w:val="32"/>
          <w:lang w:val="en-US" w:eastAsia="zh-CN"/>
        </w:rPr>
        <w:t>2005</w:t>
      </w:r>
      <w:r>
        <w:rPr>
          <w:rFonts w:hint="eastAsia" w:ascii="仿宋_GB2312" w:eastAsia="仿宋_GB2312"/>
          <w:sz w:val="32"/>
          <w:szCs w:val="32"/>
        </w:rPr>
        <w:t>〕</w:t>
      </w:r>
      <w:r>
        <w:rPr>
          <w:rFonts w:hint="eastAsia" w:ascii="仿宋_GB2312" w:eastAsia="仿宋_GB2312"/>
          <w:sz w:val="32"/>
          <w:szCs w:val="32"/>
          <w:lang w:val="en-US" w:eastAsia="zh-CN"/>
        </w:rPr>
        <w:t>84号文件、寿办发</w:t>
      </w:r>
      <w:r>
        <w:rPr>
          <w:rFonts w:hint="eastAsia" w:ascii="仿宋_GB2312" w:eastAsia="仿宋_GB2312"/>
          <w:sz w:val="32"/>
          <w:szCs w:val="32"/>
        </w:rPr>
        <w:t>〔</w:t>
      </w:r>
      <w:r>
        <w:rPr>
          <w:rFonts w:hint="eastAsia" w:ascii="仿宋_GB2312" w:eastAsia="仿宋_GB2312"/>
          <w:sz w:val="32"/>
          <w:szCs w:val="32"/>
          <w:lang w:val="en-US" w:eastAsia="zh-CN"/>
        </w:rPr>
        <w:t>2010</w:t>
      </w:r>
      <w:r>
        <w:rPr>
          <w:rFonts w:hint="eastAsia" w:ascii="仿宋_GB2312" w:eastAsia="仿宋_GB2312"/>
          <w:sz w:val="32"/>
          <w:szCs w:val="32"/>
        </w:rPr>
        <w:t>〕</w:t>
      </w:r>
      <w:r>
        <w:rPr>
          <w:rFonts w:hint="eastAsia" w:ascii="仿宋_GB2312" w:eastAsia="仿宋_GB2312"/>
          <w:sz w:val="32"/>
          <w:szCs w:val="32"/>
          <w:lang w:val="en-US" w:eastAsia="zh-CN"/>
        </w:rPr>
        <w:t>53号文件、县政府第60次常务会议纪要依据，设立了此项业务支出费用，该项费用支出符合相关法律法规规定，符合党委、政府重大决策部署，符合国民经济和社会发展规划及其他专项规划要求，能及时足额发放退休人员退休费，保障了生活，维护了社会稳定。</w:t>
      </w:r>
      <w:r>
        <w:rPr>
          <w:rFonts w:hint="eastAsia" w:ascii="仿宋_GB2312" w:hAnsi="仿宋_GB2312" w:eastAsia="仿宋_GB2312" w:cs="仿宋_GB2312"/>
          <w:sz w:val="32"/>
          <w:szCs w:val="32"/>
          <w:lang w:val="en-US" w:eastAsia="zh-CN"/>
        </w:rPr>
        <w:t>2023年寿县退休人员退休费及伙食补助费年初拨款共计600.1万元（其中包括：未参保省级配套资金195万元），追加拨款4.6万元（其中包括：未参保资金1.3万元，回民补贴2.3万元），实际使用资金合计604.7万元。</w:t>
      </w:r>
    </w:p>
    <w:p>
      <w:pPr>
        <w:numPr>
          <w:ilvl w:val="0"/>
          <w:numId w:val="1"/>
        </w:numPr>
        <w:ind w:left="0" w:leftChars="0"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绩效目标及完成情况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年初预算批复项目资金</w:t>
      </w:r>
      <w:r>
        <w:rPr>
          <w:rFonts w:hint="eastAsia" w:ascii="仿宋_GB2312" w:hAnsi="Times New Roman" w:eastAsia="仿宋_GB2312" w:cs="Times New Roman"/>
          <w:sz w:val="32"/>
          <w:szCs w:val="32"/>
          <w:lang w:val="en-US" w:eastAsia="zh-CN"/>
        </w:rPr>
        <w:t>600.1</w:t>
      </w:r>
      <w:r>
        <w:rPr>
          <w:rFonts w:hint="eastAsia" w:ascii="仿宋_GB2312" w:hAnsi="Times New Roman" w:eastAsia="仿宋_GB2312" w:cs="Times New Roman"/>
          <w:sz w:val="32"/>
          <w:szCs w:val="32"/>
        </w:rPr>
        <w:t>万元，本年预算执行</w:t>
      </w:r>
      <w:r>
        <w:rPr>
          <w:rFonts w:hint="eastAsia" w:ascii="仿宋_GB2312" w:hAnsi="Times New Roman" w:eastAsia="仿宋_GB2312" w:cs="Times New Roman"/>
          <w:sz w:val="32"/>
          <w:szCs w:val="32"/>
          <w:lang w:val="en-US" w:eastAsia="zh-CN"/>
        </w:rPr>
        <w:t>600.1</w:t>
      </w:r>
      <w:r>
        <w:rPr>
          <w:rFonts w:hint="eastAsia" w:ascii="仿宋_GB2312" w:hAnsi="Times New Roman" w:eastAsia="仿宋_GB2312" w:cs="Times New Roman"/>
          <w:sz w:val="32"/>
          <w:szCs w:val="32"/>
        </w:rPr>
        <w:t>万元，预算执行率</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ind w:firstLine="645"/>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三</w:t>
      </w:r>
      <w:r>
        <w:rPr>
          <w:rFonts w:hint="eastAsia" w:ascii="黑体" w:hAnsi="Times New Roman" w:eastAsia="黑体" w:cs="Times New Roman"/>
          <w:sz w:val="32"/>
          <w:szCs w:val="32"/>
        </w:rPr>
        <w:t>、</w:t>
      </w:r>
      <w:r>
        <w:rPr>
          <w:rFonts w:hint="eastAsia" w:ascii="黑体" w:hAnsi="Times New Roman" w:eastAsia="黑体" w:cs="Times New Roman"/>
          <w:sz w:val="32"/>
          <w:szCs w:val="32"/>
          <w:lang w:eastAsia="zh-CN"/>
        </w:rPr>
        <w:t>综合评价情况及评价结论</w:t>
      </w:r>
    </w:p>
    <w:p>
      <w:pPr>
        <w:tabs>
          <w:tab w:val="right" w:pos="7942"/>
        </w:tabs>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cs="Times New Roman"/>
          <w:sz w:val="32"/>
          <w:szCs w:val="32"/>
        </w:rPr>
      </w:pPr>
      <w:bookmarkStart w:id="0" w:name="_Toc2953"/>
      <w:r>
        <w:rPr>
          <w:rFonts w:hint="eastAsia" w:ascii="仿宋_GB2312" w:hAnsi="Times New Roman" w:eastAsia="仿宋_GB2312" w:cs="Times New Roman"/>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w:t>
      </w:r>
      <w:r>
        <w:rPr>
          <w:rFonts w:hint="eastAsia" w:ascii="仿宋_GB2312" w:hAnsi="宋体" w:eastAsia="仿宋_GB2312" w:cs="宋体"/>
          <w:sz w:val="32"/>
          <w:szCs w:val="32"/>
          <w:lang w:eastAsia="zh-CN"/>
        </w:rPr>
        <w:t>决策</w:t>
      </w:r>
      <w:r>
        <w:rPr>
          <w:rFonts w:hint="eastAsia" w:ascii="仿宋_GB2312" w:hAnsi="宋体" w:eastAsia="仿宋_GB2312" w:cs="宋体"/>
          <w:sz w:val="32"/>
          <w:szCs w:val="32"/>
        </w:rPr>
        <w:t>、过程、产出、效果四个一级指标。“</w:t>
      </w:r>
      <w:r>
        <w:rPr>
          <w:rFonts w:hint="eastAsia" w:ascii="仿宋_GB2312" w:hAnsi="宋体" w:eastAsia="仿宋_GB2312" w:cs="宋体"/>
          <w:sz w:val="32"/>
          <w:szCs w:val="32"/>
          <w:lang w:eastAsia="zh-CN"/>
        </w:rPr>
        <w:t>决策</w:t>
      </w:r>
      <w:r>
        <w:rPr>
          <w:rFonts w:hint="eastAsia" w:ascii="仿宋_GB2312" w:hAnsi="宋体" w:eastAsia="仿宋_GB2312" w:cs="宋体"/>
          <w:sz w:val="32"/>
          <w:szCs w:val="32"/>
        </w:rPr>
        <w:t>”指标主要评价</w:t>
      </w:r>
      <w:r>
        <w:rPr>
          <w:rFonts w:hint="eastAsia" w:ascii="仿宋_GB2312" w:hAnsi="宋体" w:eastAsia="仿宋_GB2312" w:cs="宋体"/>
          <w:sz w:val="32"/>
          <w:szCs w:val="32"/>
          <w:lang w:eastAsia="zh-CN"/>
        </w:rPr>
        <w:t>项目申报管理</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资金落实</w:t>
      </w:r>
      <w:r>
        <w:rPr>
          <w:rFonts w:hint="eastAsia" w:ascii="仿宋_GB2312" w:hAnsi="宋体" w:eastAsia="仿宋_GB2312" w:cs="宋体"/>
          <w:sz w:val="32"/>
          <w:szCs w:val="32"/>
        </w:rPr>
        <w:t>情况；“过程”指标主要评价</w:t>
      </w:r>
      <w:r>
        <w:rPr>
          <w:rFonts w:hint="eastAsia" w:ascii="仿宋_GB2312" w:hAnsi="宋体" w:eastAsia="仿宋_GB2312" w:cs="宋体"/>
          <w:sz w:val="32"/>
          <w:szCs w:val="32"/>
          <w:lang w:eastAsia="zh-CN"/>
        </w:rPr>
        <w:t>项目管理、财务管理</w:t>
      </w:r>
      <w:r>
        <w:rPr>
          <w:rFonts w:hint="eastAsia" w:ascii="仿宋_GB2312" w:hAnsi="宋体" w:eastAsia="仿宋_GB2312" w:cs="宋体"/>
          <w:sz w:val="32"/>
          <w:szCs w:val="32"/>
        </w:rPr>
        <w:t>情况；“产出”指标主要评价</w:t>
      </w:r>
      <w:r>
        <w:rPr>
          <w:rFonts w:hint="eastAsia" w:ascii="仿宋_GB2312" w:hAnsi="宋体" w:eastAsia="仿宋_GB2312" w:cs="宋体"/>
          <w:sz w:val="32"/>
          <w:szCs w:val="32"/>
          <w:lang w:eastAsia="zh-CN"/>
        </w:rPr>
        <w:t>项目产出</w:t>
      </w:r>
      <w:r>
        <w:rPr>
          <w:rFonts w:hint="eastAsia" w:ascii="仿宋_GB2312" w:hAnsi="宋体" w:eastAsia="仿宋_GB2312" w:cs="宋体"/>
          <w:sz w:val="32"/>
          <w:szCs w:val="32"/>
        </w:rPr>
        <w:t>；“效果”指标主要评价</w:t>
      </w:r>
      <w:r>
        <w:rPr>
          <w:rFonts w:hint="eastAsia" w:ascii="仿宋_GB2312" w:hAnsi="宋体" w:eastAsia="仿宋_GB2312" w:cs="宋体"/>
          <w:sz w:val="32"/>
          <w:szCs w:val="32"/>
          <w:lang w:eastAsia="zh-CN"/>
        </w:rPr>
        <w:t>项目效益</w:t>
      </w:r>
      <w:r>
        <w:rPr>
          <w:rFonts w:hint="eastAsia" w:ascii="仿宋_GB2312" w:hAnsi="宋体" w:eastAsia="仿宋_GB2312" w:cs="宋体"/>
          <w:sz w:val="32"/>
          <w:szCs w:val="32"/>
        </w:rPr>
        <w:t>。同时，按照绩效评价总体要求设计了三级指标。</w:t>
      </w:r>
    </w:p>
    <w:p>
      <w:pPr>
        <w:tabs>
          <w:tab w:val="right" w:pos="7942"/>
        </w:tabs>
        <w:ind w:firstLine="640" w:firstLineChars="200"/>
        <w:rPr>
          <w:rFonts w:ascii="仿宋_GB2312" w:hAnsi="Times New Roman" w:eastAsia="仿宋_GB2312" w:cs="Times New Roman"/>
          <w:sz w:val="32"/>
          <w:szCs w:val="32"/>
        </w:rPr>
      </w:pPr>
      <w:bookmarkStart w:id="1" w:name="_Toc24527"/>
      <w:r>
        <w:rPr>
          <w:rFonts w:hint="eastAsia" w:ascii="仿宋_GB2312" w:hAnsi="Times New Roman" w:eastAsia="仿宋_GB2312" w:cs="Times New Roman"/>
          <w:sz w:val="32"/>
          <w:szCs w:val="32"/>
        </w:rPr>
        <w:t>（三）评价方法</w:t>
      </w:r>
      <w:bookmarkEnd w:id="1"/>
    </w:p>
    <w:p>
      <w:pPr>
        <w:ind w:firstLine="645"/>
        <w:rPr>
          <w:rFonts w:hint="eastAsia" w:ascii="仿宋_GB2312" w:hAnsi="Times New Roman" w:eastAsia="仿宋_GB2312" w:cs="Times New Roman"/>
          <w:sz w:val="32"/>
          <w:szCs w:val="32"/>
          <w:lang w:val="en-US" w:eastAsia="zh-CN"/>
        </w:rPr>
      </w:pPr>
      <w:r>
        <w:rPr>
          <w:rFonts w:hint="eastAsia" w:ascii="仿宋_GB2312" w:hAnsi="宋体" w:eastAsia="仿宋_GB2312" w:cs="宋体"/>
          <w:sz w:val="32"/>
          <w:szCs w:val="32"/>
        </w:rPr>
        <w:t>在分析自评报告等资料的基础上，采用数据采集、现场数据复核分析等评价方法进行评价</w:t>
      </w:r>
      <w:r>
        <w:rPr>
          <w:rFonts w:hint="eastAsia" w:ascii="仿宋_GB2312" w:hAnsi="宋体" w:eastAsia="仿宋_GB2312" w:cs="宋体"/>
          <w:sz w:val="32"/>
          <w:szCs w:val="32"/>
          <w:lang w:eastAsia="zh-CN"/>
        </w:rPr>
        <w:t>。</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w:t>
      </w:r>
      <w:r>
        <w:rPr>
          <w:rFonts w:hint="eastAsia" w:ascii="仿宋_GB2312" w:hAnsi="宋体" w:eastAsia="仿宋_GB2312" w:cs="宋体"/>
          <w:sz w:val="32"/>
          <w:szCs w:val="32"/>
          <w:lang w:eastAsia="zh-CN"/>
        </w:rPr>
        <w:t>养老中心</w:t>
      </w:r>
      <w:r>
        <w:rPr>
          <w:rFonts w:hint="eastAsia" w:ascii="仿宋_GB2312" w:hAnsi="宋体" w:eastAsia="仿宋_GB2312" w:cs="宋体"/>
          <w:sz w:val="32"/>
          <w:szCs w:val="32"/>
        </w:rPr>
        <w:t>2</w:t>
      </w:r>
      <w:r>
        <w:rPr>
          <w:rFonts w:hint="eastAsia" w:ascii="仿宋_GB2312" w:hAnsi="宋体" w:eastAsia="仿宋_GB2312" w:cs="宋体"/>
          <w:color w:val="000000"/>
          <w:sz w:val="32"/>
          <w:szCs w:val="32"/>
        </w:rPr>
        <w:t>02</w:t>
      </w: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年度</w:t>
      </w: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支出绩效评价综合得分为</w:t>
      </w:r>
      <w:r>
        <w:rPr>
          <w:rFonts w:hint="eastAsia" w:ascii="仿宋_GB2312" w:hAnsi="宋体" w:eastAsia="仿宋_GB2312" w:cs="宋体"/>
          <w:color w:val="000000"/>
          <w:sz w:val="32"/>
          <w:szCs w:val="32"/>
          <w:lang w:val="en-US" w:eastAsia="zh-CN"/>
        </w:rPr>
        <w:t>97.5</w:t>
      </w:r>
      <w:r>
        <w:rPr>
          <w:rFonts w:hint="eastAsia" w:ascii="仿宋_GB2312" w:hAnsi="宋体" w:eastAsia="仿宋_GB2312" w:cs="宋体"/>
          <w:color w:val="000000"/>
          <w:sz w:val="32"/>
          <w:szCs w:val="32"/>
        </w:rPr>
        <w:t>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15</w:t>
            </w:r>
          </w:p>
        </w:tc>
        <w:tc>
          <w:tcPr>
            <w:tcW w:w="1859"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14</w:t>
            </w:r>
          </w:p>
        </w:tc>
        <w:tc>
          <w:tcPr>
            <w:tcW w:w="1859"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18.5</w:t>
            </w:r>
          </w:p>
        </w:tc>
        <w:tc>
          <w:tcPr>
            <w:tcW w:w="1287" w:type="dxa"/>
            <w:tcBorders>
              <w:top w:val="single" w:color="auto" w:sz="4" w:space="0"/>
              <w:left w:val="nil"/>
              <w:bottom w:val="single" w:color="auto" w:sz="4" w:space="0"/>
              <w:right w:val="nil"/>
            </w:tcBorders>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25</w:t>
            </w:r>
          </w:p>
        </w:tc>
        <w:tc>
          <w:tcPr>
            <w:tcW w:w="1207"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97.5</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lang w:eastAsia="zh-CN"/>
        </w:rPr>
        <w:t>四</w:t>
      </w:r>
      <w:r>
        <w:rPr>
          <w:rFonts w:hint="eastAsia" w:ascii="黑体" w:hAnsi="宋体" w:eastAsia="黑体" w:cs="宋体"/>
          <w:bCs/>
          <w:color w:val="000000"/>
          <w:sz w:val="32"/>
          <w:szCs w:val="32"/>
        </w:rPr>
        <w:t>、绩效</w:t>
      </w:r>
      <w:r>
        <w:rPr>
          <w:rFonts w:hint="eastAsia" w:ascii="黑体" w:hAnsi="宋体" w:eastAsia="黑体" w:cs="宋体"/>
          <w:bCs/>
          <w:color w:val="000000"/>
          <w:sz w:val="32"/>
          <w:szCs w:val="32"/>
          <w:lang w:eastAsia="zh-CN"/>
        </w:rPr>
        <w:t>评价指标</w:t>
      </w:r>
      <w:r>
        <w:rPr>
          <w:rFonts w:hint="eastAsia" w:ascii="黑体" w:hAnsi="宋体" w:eastAsia="黑体" w:cs="宋体"/>
          <w:bCs/>
          <w:color w:val="000000"/>
          <w:sz w:val="32"/>
          <w:szCs w:val="32"/>
        </w:rPr>
        <w:t>分析</w:t>
      </w:r>
    </w:p>
    <w:p>
      <w:pPr>
        <w:ind w:firstLine="640" w:firstLineChars="200"/>
        <w:rPr>
          <w:rFonts w:hint="eastAsia" w:ascii="仿宋_GB2312" w:hAnsi="宋体" w:eastAsia="仿宋_GB2312" w:cs="宋体"/>
          <w:bCs/>
          <w:color w:val="000000"/>
          <w:sz w:val="32"/>
          <w:szCs w:val="32"/>
          <w:lang w:val="en-US" w:eastAsia="zh-CN"/>
        </w:rPr>
      </w:pP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支出绩效评价指标体系共设置4</w:t>
      </w:r>
      <w:r>
        <w:rPr>
          <w:rFonts w:hint="eastAsia" w:ascii="仿宋_GB2312" w:hAnsi="宋体" w:eastAsia="仿宋_GB2312" w:cs="宋体"/>
          <w:bCs/>
          <w:color w:val="000000"/>
          <w:sz w:val="32"/>
          <w:szCs w:val="32"/>
        </w:rPr>
        <w:t>个一级指标、</w:t>
      </w:r>
      <w:r>
        <w:rPr>
          <w:rFonts w:hint="eastAsia" w:ascii="仿宋_GB2312" w:hAnsi="宋体" w:eastAsia="仿宋_GB2312" w:cs="宋体"/>
          <w:bCs/>
          <w:color w:val="000000"/>
          <w:sz w:val="32"/>
          <w:szCs w:val="32"/>
          <w:lang w:val="en-US" w:eastAsia="zh-CN"/>
        </w:rPr>
        <w:t>6</w:t>
      </w:r>
      <w:r>
        <w:rPr>
          <w:rFonts w:hint="eastAsia" w:ascii="仿宋_GB2312" w:hAnsi="宋体" w:eastAsia="仿宋_GB2312" w:cs="宋体"/>
          <w:color w:val="000000"/>
          <w:sz w:val="32"/>
          <w:szCs w:val="32"/>
        </w:rPr>
        <w:t>个二级指标和</w:t>
      </w:r>
      <w:r>
        <w:rPr>
          <w:rFonts w:hint="eastAsia" w:ascii="仿宋_GB2312" w:hAnsi="宋体" w:eastAsia="仿宋_GB2312" w:cs="宋体"/>
          <w:color w:val="000000"/>
          <w:sz w:val="32"/>
          <w:szCs w:val="32"/>
          <w:lang w:val="en-US" w:eastAsia="zh-CN"/>
        </w:rPr>
        <w:t>24</w:t>
      </w:r>
      <w:r>
        <w:rPr>
          <w:rFonts w:hint="eastAsia" w:ascii="仿宋_GB2312" w:hAnsi="宋体" w:eastAsia="仿宋_GB2312" w:cs="宋体"/>
          <w:color w:val="000000"/>
          <w:sz w:val="32"/>
          <w:szCs w:val="32"/>
        </w:rPr>
        <w:t>个三级指标，</w:t>
      </w:r>
      <w:r>
        <w:rPr>
          <w:rFonts w:hint="eastAsia" w:ascii="仿宋_GB2312" w:hAnsi="宋体" w:eastAsia="仿宋_GB2312" w:cs="宋体"/>
          <w:bCs/>
          <w:color w:val="000000"/>
          <w:sz w:val="32"/>
          <w:szCs w:val="32"/>
        </w:rPr>
        <w:t>分别为：</w:t>
      </w: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、过程、产出、效果，其中：</w:t>
      </w: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包含2个二级指标和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个三级指标；过程包含</w:t>
      </w:r>
      <w:r>
        <w:rPr>
          <w:rFonts w:hint="eastAsia" w:ascii="仿宋_GB2312" w:hAnsi="宋体" w:eastAsia="仿宋_GB2312" w:cs="宋体"/>
          <w:bCs/>
          <w:color w:val="000000"/>
          <w:sz w:val="32"/>
          <w:szCs w:val="32"/>
          <w:lang w:val="en-US" w:eastAsia="zh-CN"/>
        </w:rPr>
        <w:t>2</w:t>
      </w:r>
      <w:r>
        <w:rPr>
          <w:rFonts w:hint="eastAsia" w:ascii="仿宋_GB2312" w:hAnsi="宋体" w:eastAsia="仿宋_GB2312" w:cs="宋体"/>
          <w:bCs/>
          <w:color w:val="000000"/>
          <w:sz w:val="32"/>
          <w:szCs w:val="32"/>
        </w:rPr>
        <w:t>个二级指标和</w:t>
      </w:r>
      <w:r>
        <w:rPr>
          <w:rFonts w:hint="eastAsia" w:ascii="仿宋_GB2312" w:hAnsi="宋体" w:eastAsia="仿宋_GB2312" w:cs="宋体"/>
          <w:bCs/>
          <w:color w:val="000000"/>
          <w:sz w:val="32"/>
          <w:szCs w:val="32"/>
          <w:lang w:val="en-US" w:eastAsia="zh-CN"/>
        </w:rPr>
        <w:t>9</w:t>
      </w:r>
      <w:r>
        <w:rPr>
          <w:rFonts w:hint="eastAsia" w:ascii="仿宋_GB2312" w:hAnsi="宋体" w:eastAsia="仿宋_GB2312" w:cs="宋体"/>
          <w:bCs/>
          <w:color w:val="000000"/>
          <w:sz w:val="32"/>
          <w:szCs w:val="32"/>
        </w:rPr>
        <w:t>个三级指标；产出包含1个二级指标和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个三级指标；效果包含1个二级指标和5个三级指标。</w:t>
      </w:r>
      <w:r>
        <w:rPr>
          <w:rFonts w:hint="eastAsia" w:ascii="仿宋_GB2312" w:hAnsi="宋体" w:eastAsia="仿宋_GB2312" w:cs="宋体"/>
          <w:bCs/>
          <w:color w:val="000000"/>
          <w:sz w:val="32"/>
          <w:szCs w:val="32"/>
          <w:lang w:val="en-US" w:eastAsia="zh-CN"/>
        </w:rPr>
        <w:t xml:space="preserve"> </w:t>
      </w:r>
    </w:p>
    <w:p>
      <w:pPr>
        <w:ind w:firstLine="640" w:firstLineChars="200"/>
        <w:rPr>
          <w:rFonts w:ascii="黑体" w:hAnsi="宋体" w:eastAsia="黑体" w:cs="宋体"/>
          <w:color w:val="000000" w:themeColor="text1"/>
          <w:sz w:val="32"/>
          <w:szCs w:val="32"/>
          <w14:textFill>
            <w14:solidFill>
              <w14:schemeClr w14:val="tx1"/>
            </w14:solidFill>
          </w14:textFill>
        </w:rPr>
      </w:pPr>
      <w:r>
        <w:rPr>
          <w:rFonts w:hint="eastAsia" w:ascii="黑体" w:hAnsi="宋体" w:eastAsia="黑体" w:cs="宋体"/>
          <w:color w:val="000000"/>
          <w:sz w:val="32"/>
          <w:szCs w:val="32"/>
        </w:rPr>
        <w:t>（一）</w:t>
      </w:r>
      <w:r>
        <w:rPr>
          <w:rFonts w:hint="eastAsia" w:ascii="黑体" w:hAnsi="宋体" w:eastAsia="黑体" w:cs="宋体"/>
          <w:color w:val="000000"/>
          <w:sz w:val="32"/>
          <w:szCs w:val="32"/>
          <w:lang w:eastAsia="zh-CN"/>
        </w:rPr>
        <w:t>决策</w:t>
      </w:r>
      <w:r>
        <w:rPr>
          <w:rFonts w:hint="eastAsia" w:ascii="黑体" w:hAnsi="宋体" w:eastAsia="黑体" w:cs="宋体"/>
          <w:color w:val="000000"/>
          <w:sz w:val="32"/>
          <w:szCs w:val="32"/>
        </w:rPr>
        <w:t>情况</w:t>
      </w:r>
      <w:r>
        <w:rPr>
          <w:rFonts w:hint="eastAsia" w:ascii="黑体" w:hAnsi="宋体" w:eastAsia="黑体" w:cs="宋体"/>
          <w:bCs/>
          <w:color w:val="000000" w:themeColor="text1"/>
          <w:sz w:val="32"/>
          <w:szCs w:val="32"/>
          <w14:textFill>
            <w14:solidFill>
              <w14:schemeClr w14:val="tx1"/>
            </w14:solidFill>
          </w14:textFill>
        </w:rPr>
        <w:t>（满分</w:t>
      </w:r>
      <w:r>
        <w:rPr>
          <w:rFonts w:hint="eastAsia" w:ascii="黑体" w:hAnsi="宋体" w:eastAsia="黑体" w:cs="宋体"/>
          <w:bCs/>
          <w:color w:val="000000" w:themeColor="text1"/>
          <w:sz w:val="32"/>
          <w:szCs w:val="32"/>
          <w:lang w:val="en-US" w:eastAsia="zh-CN"/>
          <w14:textFill>
            <w14:solidFill>
              <w14:schemeClr w14:val="tx1"/>
            </w14:solidFill>
          </w14:textFill>
        </w:rPr>
        <w:t>15</w:t>
      </w:r>
      <w:r>
        <w:rPr>
          <w:rFonts w:hint="eastAsia" w:ascii="黑体" w:hAnsi="宋体" w:eastAsia="黑体" w:cs="宋体"/>
          <w:bCs/>
          <w:color w:val="000000" w:themeColor="text1"/>
          <w:sz w:val="32"/>
          <w:szCs w:val="32"/>
          <w14:textFill>
            <w14:solidFill>
              <w14:schemeClr w14:val="tx1"/>
            </w14:solidFill>
          </w14:textFill>
        </w:rPr>
        <w:t>分，得</w:t>
      </w:r>
      <w:r>
        <w:rPr>
          <w:rFonts w:hint="eastAsia" w:ascii="黑体" w:hAnsi="宋体" w:eastAsia="黑体" w:cs="宋体"/>
          <w:bCs/>
          <w:color w:val="000000" w:themeColor="text1"/>
          <w:sz w:val="32"/>
          <w:szCs w:val="32"/>
          <w:lang w:val="en-US" w:eastAsia="zh-CN"/>
          <w14:textFill>
            <w14:solidFill>
              <w14:schemeClr w14:val="tx1"/>
            </w14:solidFill>
          </w14:textFill>
        </w:rPr>
        <w:t>14</w:t>
      </w:r>
      <w:r>
        <w:rPr>
          <w:rFonts w:hint="eastAsia" w:ascii="黑体" w:hAnsi="宋体" w:eastAsia="黑体" w:cs="宋体"/>
          <w:bCs/>
          <w:color w:val="000000" w:themeColor="text1"/>
          <w:sz w:val="32"/>
          <w:szCs w:val="32"/>
          <w14:textFill>
            <w14:solidFill>
              <w14:schemeClr w14:val="tx1"/>
            </w14:solidFill>
          </w14:textFill>
        </w:rPr>
        <w:t>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包含2个二级指标和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1、</w:t>
      </w:r>
      <w:r>
        <w:rPr>
          <w:rFonts w:hint="eastAsia" w:ascii="仿宋_GB2312" w:hAnsi="宋体" w:eastAsia="仿宋_GB2312" w:cs="宋体"/>
          <w:bCs/>
          <w:color w:val="000000"/>
          <w:sz w:val="32"/>
          <w:szCs w:val="32"/>
          <w:lang w:eastAsia="zh-CN"/>
        </w:rPr>
        <w:t>项目申报管理</w:t>
      </w:r>
      <w:r>
        <w:rPr>
          <w:rFonts w:hint="eastAsia" w:ascii="仿宋_GB2312" w:hAnsi="宋体" w:eastAsia="仿宋_GB2312" w:cs="宋体"/>
          <w:bCs/>
          <w:color w:val="000000"/>
          <w:sz w:val="32"/>
          <w:szCs w:val="32"/>
        </w:rPr>
        <w:t>（满分</w:t>
      </w:r>
      <w:r>
        <w:rPr>
          <w:rFonts w:hint="eastAsia" w:ascii="仿宋_GB2312" w:hAnsi="宋体" w:eastAsia="仿宋_GB2312" w:cs="宋体"/>
          <w:bCs/>
          <w:color w:val="000000"/>
          <w:sz w:val="32"/>
          <w:szCs w:val="32"/>
          <w:lang w:val="en-US" w:eastAsia="zh-CN"/>
        </w:rPr>
        <w:t>10</w:t>
      </w:r>
      <w:r>
        <w:rPr>
          <w:rFonts w:hint="eastAsia" w:ascii="仿宋_GB2312" w:hAnsi="宋体" w:eastAsia="仿宋_GB2312" w:cs="宋体"/>
          <w:bCs/>
          <w:color w:val="000000"/>
          <w:sz w:val="32"/>
          <w:szCs w:val="32"/>
        </w:rPr>
        <w:t>分，得分</w:t>
      </w:r>
      <w:r>
        <w:rPr>
          <w:rFonts w:hint="eastAsia" w:ascii="仿宋_GB2312" w:hAnsi="宋体" w:eastAsia="仿宋_GB2312" w:cs="宋体"/>
          <w:bCs/>
          <w:color w:val="000000"/>
          <w:sz w:val="32"/>
          <w:szCs w:val="32"/>
          <w:lang w:val="en-US" w:eastAsia="zh-CN"/>
        </w:rPr>
        <w:t>10</w:t>
      </w:r>
      <w:r>
        <w:rPr>
          <w:rFonts w:hint="eastAsia" w:ascii="仿宋_GB2312" w:hAnsi="宋体" w:eastAsia="仿宋_GB2312" w:cs="宋体"/>
          <w:bCs/>
          <w:color w:val="000000"/>
          <w:sz w:val="32"/>
          <w:szCs w:val="32"/>
        </w:rPr>
        <w:t>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项目申报相关性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申报项目符合国家政策和行业发展规划的要求</w:t>
      </w:r>
      <w:r>
        <w:rPr>
          <w:rFonts w:hint="eastAsia" w:ascii="仿宋_GB2312" w:hAnsi="宋体" w:eastAsia="仿宋_GB2312" w:cs="宋体"/>
          <w:sz w:val="32"/>
          <w:szCs w:val="32"/>
        </w:rPr>
        <w:t>；</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申报项目是项目库中的项目</w:t>
      </w:r>
      <w:r>
        <w:rPr>
          <w:rFonts w:hint="eastAsia" w:ascii="仿宋_GB2312" w:hAnsi="宋体" w:eastAsia="仿宋_GB2312" w:cs="宋体"/>
          <w:sz w:val="32"/>
          <w:szCs w:val="32"/>
        </w:rPr>
        <w:t>；</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申报项目是奖补资金支持方向的项目</w:t>
      </w:r>
      <w:r>
        <w:rPr>
          <w:rFonts w:hint="eastAsia" w:ascii="仿宋_GB2312" w:hAnsi="宋体" w:eastAsia="仿宋_GB2312" w:cs="宋体"/>
          <w:sz w:val="32"/>
          <w:szCs w:val="32"/>
          <w:lang w:val="en-US" w:eastAsia="zh-CN"/>
        </w:rPr>
        <w:t>;</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④</w:t>
      </w:r>
      <w:r>
        <w:rPr>
          <w:rFonts w:hint="eastAsia" w:ascii="仿宋_GB2312" w:hAnsi="宋体" w:eastAsia="仿宋_GB2312" w:cs="宋体"/>
          <w:sz w:val="32"/>
          <w:szCs w:val="32"/>
          <w:lang w:eastAsia="zh-CN"/>
        </w:rPr>
        <w:t>申报项目是规定建设期内的项目</w:t>
      </w:r>
      <w:r>
        <w:rPr>
          <w:rFonts w:hint="eastAsia" w:ascii="仿宋_GB2312" w:hAnsi="宋体" w:eastAsia="仿宋_GB2312" w:cs="宋体"/>
          <w:sz w:val="32"/>
          <w:szCs w:val="32"/>
          <w:lang w:val="en-US" w:eastAsia="zh-CN"/>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项目申报符合性</w:t>
      </w:r>
      <w:r>
        <w:rPr>
          <w:rFonts w:hint="eastAsia" w:ascii="仿宋_GB2312" w:hAnsi="宋体" w:eastAsia="仿宋_GB2312" w:cs="宋体"/>
          <w:sz w:val="32"/>
          <w:szCs w:val="32"/>
        </w:rPr>
        <w:t>，得满分。</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项目提交的申请文件、材料符合申报要求；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项目单位符合申报要求</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项目符合专项资金支持的范围和方向</w:t>
      </w:r>
      <w:r>
        <w:rPr>
          <w:rFonts w:hint="eastAsia" w:ascii="仿宋_GB2312" w:hAnsi="宋体" w:eastAsia="仿宋_GB2312" w:cs="宋体"/>
          <w:sz w:val="32"/>
          <w:szCs w:val="32"/>
        </w:rPr>
        <w:t>；</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④</w:t>
      </w:r>
      <w:r>
        <w:rPr>
          <w:rFonts w:hint="eastAsia" w:ascii="仿宋_GB2312" w:hAnsi="宋体" w:eastAsia="仿宋_GB2312" w:cs="宋体"/>
          <w:sz w:val="32"/>
          <w:szCs w:val="32"/>
          <w:lang w:eastAsia="zh-CN"/>
        </w:rPr>
        <w:t>项目申报建设内容（或产出目标）符合申报要求；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审批程序规范性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项目申报审核、审批程序规范</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项目审批手续完善、不存在多头申报或重复申报</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（4）绩效</w:t>
      </w:r>
      <w:r>
        <w:rPr>
          <w:rFonts w:hint="eastAsia" w:ascii="仿宋_GB2312" w:hAnsi="宋体" w:eastAsia="仿宋_GB2312" w:cs="宋体"/>
          <w:sz w:val="32"/>
          <w:szCs w:val="32"/>
          <w:lang w:eastAsia="zh-CN"/>
        </w:rPr>
        <w:t>目标的明确、</w:t>
      </w:r>
      <w:r>
        <w:rPr>
          <w:rFonts w:hint="eastAsia" w:ascii="仿宋_GB2312" w:hAnsi="宋体" w:eastAsia="仿宋_GB2312" w:cs="宋体"/>
          <w:sz w:val="32"/>
          <w:szCs w:val="32"/>
        </w:rPr>
        <w:t>合理</w:t>
      </w:r>
      <w:r>
        <w:rPr>
          <w:rFonts w:hint="eastAsia" w:ascii="仿宋_GB2312" w:hAnsi="宋体" w:eastAsia="仿宋_GB2312" w:cs="宋体"/>
          <w:sz w:val="32"/>
          <w:szCs w:val="32"/>
          <w:lang w:eastAsia="zh-CN"/>
        </w:rPr>
        <w:t>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①项目绩效指标的设置有充分依据；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将项目绩效目标细化分解为具体的绩效指标</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通过清晰、可衡量的指标值予以体现</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④与</w:t>
      </w:r>
      <w:r>
        <w:rPr>
          <w:rFonts w:hint="eastAsia" w:ascii="仿宋_GB2312" w:hAnsi="宋体" w:eastAsia="仿宋_GB2312" w:cs="宋体"/>
          <w:sz w:val="32"/>
          <w:szCs w:val="32"/>
          <w:lang w:eastAsia="zh-CN"/>
        </w:rPr>
        <w:t>预算确定的项目投资额或资金量相匹配</w:t>
      </w:r>
      <w:r>
        <w:rPr>
          <w:rFonts w:hint="eastAsia" w:ascii="仿宋_GB2312" w:hAnsi="宋体" w:eastAsia="仿宋_GB2312" w:cs="宋体"/>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资金落实</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4</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率，指标满分</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2分</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实际到位资金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计划投入资金</w:t>
      </w:r>
      <w:r>
        <w:rPr>
          <w:rFonts w:hint="eastAsia" w:ascii="仿宋_GB2312" w:hAnsi="宋体" w:eastAsia="仿宋_GB2312" w:cs="宋体"/>
          <w:sz w:val="32"/>
          <w:szCs w:val="32"/>
        </w:rPr>
        <w:t>）×100%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实际到位资金</w:t>
      </w:r>
      <w:r>
        <w:rPr>
          <w:rFonts w:hint="eastAsia" w:ascii="仿宋_GB2312" w:hAnsi="宋体" w:eastAsia="仿宋_GB2312" w:cs="宋体"/>
          <w:sz w:val="32"/>
          <w:szCs w:val="32"/>
          <w:lang w:val="en-US" w:eastAsia="zh-CN"/>
        </w:rPr>
        <w:t>600.1万元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计划投入资金</w:t>
      </w:r>
      <w:r>
        <w:rPr>
          <w:rFonts w:hint="eastAsia" w:ascii="仿宋_GB2312" w:hAnsi="宋体" w:eastAsia="仿宋_GB2312" w:cs="宋体"/>
          <w:sz w:val="32"/>
          <w:szCs w:val="32"/>
          <w:lang w:val="en-US" w:eastAsia="zh-CN"/>
        </w:rPr>
        <w:t>666万元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率为</w:t>
      </w:r>
      <w:r>
        <w:rPr>
          <w:rFonts w:hint="eastAsia" w:ascii="仿宋_GB2312" w:hAnsi="宋体" w:eastAsia="仿宋_GB2312" w:cs="宋体"/>
          <w:sz w:val="32"/>
          <w:szCs w:val="32"/>
          <w:lang w:val="en-US" w:eastAsia="zh-CN"/>
        </w:rPr>
        <w:t>90.1</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扣</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资金到位及时</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资金到位及时</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实际已及时到位资金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应到位资金）</w:t>
      </w:r>
      <w:r>
        <w:rPr>
          <w:rFonts w:hint="eastAsia" w:ascii="仿宋_GB2312" w:hAnsi="宋体" w:eastAsia="仿宋_GB2312" w:cs="宋体"/>
          <w:sz w:val="32"/>
          <w:szCs w:val="32"/>
        </w:rPr>
        <w:t>×100%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600.1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600.1</w:t>
      </w:r>
      <w:r>
        <w:rPr>
          <w:rFonts w:hint="eastAsia" w:ascii="仿宋_GB2312" w:hAnsi="宋体" w:eastAsia="仿宋_GB2312" w:cs="宋体"/>
          <w:sz w:val="32"/>
          <w:szCs w:val="32"/>
        </w:rPr>
        <w:t>*100%=</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%，满分。</w:t>
      </w:r>
    </w:p>
    <w:p>
      <w:pPr>
        <w:ind w:firstLine="643" w:firstLineChars="200"/>
        <w:rPr>
          <w:rFonts w:ascii="黑体" w:hAnsi="宋体" w:eastAsia="黑体" w:cs="宋体"/>
          <w:bCs/>
          <w:color w:val="000000" w:themeColor="text1"/>
          <w:sz w:val="32"/>
          <w:szCs w:val="32"/>
          <w14:textFill>
            <w14:solidFill>
              <w14:schemeClr w14:val="tx1"/>
            </w14:solidFill>
          </w14:textFill>
        </w:rPr>
      </w:pPr>
      <w:r>
        <w:rPr>
          <w:rFonts w:hint="eastAsia" w:ascii="黑体" w:hAnsi="宋体" w:eastAsia="黑体" w:cs="宋体"/>
          <w:b/>
          <w:bCs/>
          <w:color w:val="000000"/>
          <w:sz w:val="32"/>
          <w:szCs w:val="32"/>
        </w:rPr>
        <w:t>（二）过程情况</w:t>
      </w:r>
      <w:r>
        <w:rPr>
          <w:rFonts w:hint="eastAsia" w:ascii="黑体" w:hAnsi="宋体" w:eastAsia="黑体" w:cs="宋体"/>
          <w:bCs/>
          <w:color w:val="000000"/>
          <w:sz w:val="32"/>
          <w:szCs w:val="32"/>
        </w:rPr>
        <w:t>（</w:t>
      </w:r>
      <w:r>
        <w:rPr>
          <w:rFonts w:hint="eastAsia" w:ascii="黑体" w:hAnsi="宋体" w:eastAsia="黑体" w:cs="宋体"/>
          <w:bCs/>
          <w:color w:val="000000" w:themeColor="text1"/>
          <w:sz w:val="32"/>
          <w:szCs w:val="32"/>
          <w14:textFill>
            <w14:solidFill>
              <w14:schemeClr w14:val="tx1"/>
            </w14:solidFill>
          </w14:textFill>
        </w:rPr>
        <w:t>满分</w:t>
      </w:r>
      <w:r>
        <w:rPr>
          <w:rFonts w:hint="eastAsia" w:ascii="黑体" w:hAnsi="宋体" w:eastAsia="黑体" w:cs="宋体"/>
          <w:bCs/>
          <w:color w:val="000000" w:themeColor="text1"/>
          <w:sz w:val="32"/>
          <w:szCs w:val="32"/>
          <w:lang w:val="en-US" w:eastAsia="zh-CN"/>
          <w14:textFill>
            <w14:solidFill>
              <w14:schemeClr w14:val="tx1"/>
            </w14:solidFill>
          </w14:textFill>
        </w:rPr>
        <w:t>20</w:t>
      </w:r>
      <w:r>
        <w:rPr>
          <w:rFonts w:hint="eastAsia" w:ascii="黑体" w:hAnsi="宋体" w:eastAsia="黑体" w:cs="宋体"/>
          <w:bCs/>
          <w:color w:val="000000" w:themeColor="text1"/>
          <w:sz w:val="32"/>
          <w:szCs w:val="32"/>
          <w14:textFill>
            <w14:solidFill>
              <w14:schemeClr w14:val="tx1"/>
            </w14:solidFill>
          </w14:textFill>
        </w:rPr>
        <w:t>分，得</w:t>
      </w:r>
      <w:r>
        <w:rPr>
          <w:rFonts w:hint="eastAsia" w:ascii="黑体" w:hAnsi="宋体" w:eastAsia="黑体" w:cs="宋体"/>
          <w:bCs/>
          <w:color w:val="000000" w:themeColor="text1"/>
          <w:sz w:val="32"/>
          <w:szCs w:val="32"/>
          <w:lang w:val="en-US" w:eastAsia="zh-CN"/>
          <w14:textFill>
            <w14:solidFill>
              <w14:schemeClr w14:val="tx1"/>
            </w14:solidFill>
          </w14:textFill>
        </w:rPr>
        <w:t>18.5</w:t>
      </w:r>
      <w:r>
        <w:rPr>
          <w:rFonts w:hint="eastAsia" w:ascii="黑体" w:hAnsi="宋体" w:eastAsia="黑体" w:cs="宋体"/>
          <w:bCs/>
          <w:color w:val="000000" w:themeColor="text1"/>
          <w:sz w:val="32"/>
          <w:szCs w:val="32"/>
          <w14:textFill>
            <w14:solidFill>
              <w14:schemeClr w14:val="tx1"/>
            </w14:solidFill>
          </w14:textFill>
        </w:rPr>
        <w:t>分）</w:t>
      </w:r>
    </w:p>
    <w:p>
      <w:pPr>
        <w:ind w:firstLine="640" w:firstLineChars="200"/>
        <w:rPr>
          <w:rFonts w:hint="eastAsia" w:ascii="仿宋_GB2312" w:hAnsi="宋体" w:eastAsia="仿宋_GB2312" w:cs="宋体"/>
          <w:bCs/>
          <w:color w:val="000000"/>
          <w:sz w:val="32"/>
          <w:szCs w:val="32"/>
          <w:lang w:eastAsia="zh-CN"/>
        </w:rPr>
      </w:pPr>
      <w:r>
        <w:rPr>
          <w:rFonts w:hint="eastAsia" w:ascii="仿宋_GB2312" w:hAnsi="宋体" w:eastAsia="仿宋_GB2312" w:cs="宋体"/>
          <w:bCs/>
          <w:color w:val="000000"/>
          <w:sz w:val="32"/>
          <w:szCs w:val="32"/>
        </w:rPr>
        <w:t>过程包含</w:t>
      </w:r>
      <w:r>
        <w:rPr>
          <w:rFonts w:hint="eastAsia" w:ascii="仿宋_GB2312" w:hAnsi="宋体" w:eastAsia="仿宋_GB2312" w:cs="宋体"/>
          <w:bCs/>
          <w:color w:val="000000"/>
          <w:sz w:val="32"/>
          <w:szCs w:val="32"/>
          <w:lang w:val="en-US" w:eastAsia="zh-CN"/>
        </w:rPr>
        <w:t>2</w:t>
      </w:r>
      <w:r>
        <w:rPr>
          <w:rFonts w:hint="eastAsia" w:ascii="仿宋_GB2312" w:hAnsi="宋体" w:eastAsia="仿宋_GB2312" w:cs="宋体"/>
          <w:bCs/>
          <w:color w:val="000000"/>
          <w:sz w:val="32"/>
          <w:szCs w:val="32"/>
        </w:rPr>
        <w:t>个二级指标和</w:t>
      </w:r>
      <w:r>
        <w:rPr>
          <w:rFonts w:hint="eastAsia" w:ascii="仿宋_GB2312" w:hAnsi="宋体" w:eastAsia="仿宋_GB2312" w:cs="宋体"/>
          <w:bCs/>
          <w:color w:val="000000"/>
          <w:sz w:val="32"/>
          <w:szCs w:val="32"/>
          <w:lang w:val="en-US" w:eastAsia="zh-CN"/>
        </w:rPr>
        <w:t>9</w:t>
      </w:r>
      <w:r>
        <w:rPr>
          <w:rFonts w:hint="eastAsia" w:ascii="仿宋_GB2312" w:hAnsi="宋体" w:eastAsia="仿宋_GB2312" w:cs="宋体"/>
          <w:bCs/>
          <w:color w:val="000000"/>
          <w:sz w:val="32"/>
          <w:szCs w:val="32"/>
        </w:rPr>
        <w:t>个三级指标</w:t>
      </w:r>
      <w:r>
        <w:rPr>
          <w:rFonts w:hint="eastAsia" w:ascii="仿宋_GB2312" w:hAnsi="宋体" w:eastAsia="仿宋_GB2312" w:cs="宋体"/>
          <w:bCs/>
          <w:color w:val="000000"/>
          <w:sz w:val="32"/>
          <w:szCs w:val="32"/>
          <w:lang w:eastAsia="zh-CN"/>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项目管理</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10</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项目管理的规范性</w:t>
      </w:r>
      <w:r>
        <w:rPr>
          <w:rFonts w:hint="eastAsia" w:ascii="仿宋_GB2312" w:hAnsi="宋体" w:eastAsia="仿宋_GB2312" w:cs="宋体"/>
          <w:sz w:val="32"/>
          <w:szCs w:val="32"/>
        </w:rPr>
        <w:t>，指标</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分，得2分。</w:t>
      </w:r>
    </w:p>
    <w:p>
      <w:pPr>
        <w:ind w:right="420" w:rightChars="200"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具有相应的项目管理内控制度，项目内控管理制度得到有效执行，项目程序符合相关规范、项目过程管理资料齐全完整。</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项目计划目标管理</w:t>
      </w:r>
      <w:r>
        <w:rPr>
          <w:rFonts w:hint="eastAsia" w:ascii="仿宋_GB2312" w:hAnsi="宋体" w:eastAsia="仿宋_GB2312" w:cs="宋体"/>
          <w:color w:val="000000"/>
          <w:sz w:val="32"/>
          <w:szCs w:val="32"/>
        </w:rPr>
        <w:t>，指标</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w:t>
      </w:r>
    </w:p>
    <w:p>
      <w:pPr>
        <w:ind w:right="420" w:rightChars="200" w:firstLine="640" w:firstLineChars="20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项目按计划申报的实施内容进行项目管理，单位无擅自改变项目主要计划目标。</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r>
        <w:rPr>
          <w:rFonts w:hint="eastAsia" w:ascii="仿宋_GB2312" w:hAnsi="宋体" w:eastAsia="仿宋_GB2312" w:cs="宋体"/>
          <w:color w:val="000000"/>
          <w:sz w:val="32"/>
          <w:szCs w:val="32"/>
          <w:lang w:eastAsia="zh-CN"/>
        </w:rPr>
        <w:t>政府采购制执行情况</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w:t>
      </w:r>
      <w:r>
        <w:rPr>
          <w:rFonts w:hint="eastAsia" w:ascii="仿宋_GB2312" w:hAnsi="宋体" w:eastAsia="仿宋_GB2312" w:cs="宋体"/>
          <w:sz w:val="32"/>
          <w:szCs w:val="32"/>
          <w:lang w:eastAsia="zh-CN"/>
        </w:rPr>
        <w:t>，</w:t>
      </w:r>
      <w:r>
        <w:rPr>
          <w:rFonts w:hint="eastAsia" w:ascii="仿宋_GB2312" w:hAnsi="宋体" w:eastAsia="仿宋_GB2312" w:cs="宋体"/>
          <w:color w:val="000000"/>
          <w:sz w:val="32"/>
          <w:szCs w:val="32"/>
        </w:rPr>
        <w:t>得</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有符合政府采购的设备物资及其他服务业务，严格执行了政府集中采购制</w:t>
      </w:r>
      <w:r>
        <w:rPr>
          <w:rFonts w:hint="eastAsia" w:ascii="仿宋_GB2312" w:hAnsi="宋体" w:eastAsia="仿宋_GB2312" w:cs="宋体"/>
          <w:color w:val="000000"/>
          <w:sz w:val="32"/>
          <w:szCs w:val="32"/>
        </w:rPr>
        <w:t>。</w:t>
      </w:r>
    </w:p>
    <w:p>
      <w:pPr>
        <w:numPr>
          <w:ilvl w:val="0"/>
          <w:numId w:val="2"/>
        </w:numPr>
        <w:ind w:right="420" w:rightChars="200" w:firstLine="640" w:firstLineChars="200"/>
        <w:rPr>
          <w:rFonts w:hint="eastAsia" w:ascii="仿宋_GB2312" w:hAnsi="宋体" w:eastAsia="仿宋_GB2312" w:cs="宋体"/>
          <w:sz w:val="32"/>
          <w:szCs w:val="32"/>
        </w:rPr>
      </w:pPr>
      <w:r>
        <w:rPr>
          <w:rFonts w:hint="eastAsia" w:ascii="仿宋_GB2312" w:hAnsi="宋体" w:eastAsia="仿宋_GB2312" w:cs="宋体"/>
          <w:color w:val="000000"/>
          <w:sz w:val="32"/>
          <w:szCs w:val="32"/>
          <w:lang w:eastAsia="zh-CN"/>
        </w:rPr>
        <w:t>完工验收程序的规范性，</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w:t>
      </w:r>
    </w:p>
    <w:p>
      <w:pPr>
        <w:numPr>
          <w:ilvl w:val="0"/>
          <w:numId w:val="0"/>
        </w:numPr>
        <w:ind w:right="420" w:right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该项目建设完成后及时组织初步验收，验收资料完整，验收过程由项目主管部门或其他组织成立的专家评审验收小组参与验收，项目委托第三方验收机构的，验收机构具备相应的资质。</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（5）</w:t>
      </w:r>
      <w:r>
        <w:rPr>
          <w:rFonts w:hint="eastAsia" w:ascii="仿宋_GB2312" w:hAnsi="宋体" w:eastAsia="仿宋_GB2312" w:cs="宋体"/>
          <w:color w:val="000000"/>
          <w:sz w:val="32"/>
          <w:szCs w:val="32"/>
          <w:lang w:eastAsia="zh-CN"/>
        </w:rPr>
        <w:t>项目档案管理合规性</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建立健全档案管理制度，档案资料整理符合完整规范，项目资料整理符合申报要求</w:t>
      </w:r>
      <w:r>
        <w:rPr>
          <w:rFonts w:hint="eastAsia" w:ascii="仿宋_GB2312" w:hAnsi="宋体" w:eastAsia="仿宋_GB2312" w:cs="宋体"/>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财务</w:t>
      </w:r>
      <w:r>
        <w:rPr>
          <w:rFonts w:hint="eastAsia" w:ascii="仿宋_GB2312" w:hAnsi="宋体" w:eastAsia="仿宋_GB2312" w:cs="宋体"/>
          <w:color w:val="000000"/>
          <w:sz w:val="32"/>
          <w:szCs w:val="32"/>
        </w:rPr>
        <w:t>管理（满分</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w:t>
      </w:r>
      <w:r>
        <w:rPr>
          <w:rFonts w:hint="eastAsia" w:ascii="仿宋_GB2312" w:hAnsi="宋体" w:eastAsia="仿宋_GB2312" w:cs="宋体"/>
          <w:sz w:val="32"/>
          <w:szCs w:val="32"/>
        </w:rPr>
        <w:t>得分</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财务管理的规范</w:t>
      </w:r>
      <w:r>
        <w:rPr>
          <w:rFonts w:hint="eastAsia" w:ascii="仿宋_GB2312" w:hAnsi="宋体" w:eastAsia="仿宋_GB2312" w:cs="宋体"/>
          <w:color w:val="000000"/>
          <w:sz w:val="32"/>
          <w:szCs w:val="32"/>
        </w:rPr>
        <w:t>性，符合指标，满分2分，得</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已制定或具有相应的资金或财务管理内控制度，财务核算符合财务会计制度要求，财务指标符合项目申报要求</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资金使用的合规</w:t>
      </w:r>
      <w:r>
        <w:rPr>
          <w:rFonts w:hint="eastAsia" w:ascii="仿宋_GB2312" w:hAnsi="宋体" w:eastAsia="仿宋_GB2312" w:cs="宋体"/>
          <w:color w:val="000000"/>
          <w:sz w:val="32"/>
          <w:szCs w:val="32"/>
        </w:rPr>
        <w:t>性，符合指标，满分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资金设置了专账核算，做到专款专用，资金支付手续齐全，审批流程完善，支付凭证合规，不存在大额现金支付、不合规票据支出等违规现象，不存在截留、挤占、挪用、虚报套取等违反资金管理规定的现象</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r>
        <w:rPr>
          <w:rFonts w:hint="eastAsia" w:ascii="仿宋_GB2312" w:hAnsi="宋体" w:eastAsia="仿宋_GB2312" w:cs="宋体"/>
          <w:color w:val="000000"/>
          <w:sz w:val="32"/>
          <w:szCs w:val="32"/>
          <w:lang w:eastAsia="zh-CN"/>
        </w:rPr>
        <w:t>国库集中支付情况</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严格执行了国库集中支付管理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r>
        <w:rPr>
          <w:rFonts w:hint="eastAsia" w:ascii="仿宋_GB2312" w:hAnsi="宋体" w:eastAsia="仿宋_GB2312" w:cs="宋体"/>
          <w:color w:val="000000"/>
          <w:sz w:val="32"/>
          <w:szCs w:val="32"/>
          <w:lang w:eastAsia="zh-CN"/>
        </w:rPr>
        <w:t>监督检查有效性</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0.5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没有制定保障资金安全及规范资金管理的措施或办法扣</w:t>
      </w:r>
      <w:r>
        <w:rPr>
          <w:rFonts w:hint="eastAsia" w:ascii="仿宋_GB2312" w:hAnsi="宋体" w:eastAsia="仿宋_GB2312" w:cs="宋体"/>
          <w:color w:val="000000"/>
          <w:sz w:val="32"/>
          <w:szCs w:val="32"/>
          <w:lang w:val="en-US" w:eastAsia="zh-CN"/>
        </w:rPr>
        <w:t>0.5分</w:t>
      </w:r>
      <w:r>
        <w:rPr>
          <w:rFonts w:hint="eastAsia" w:ascii="仿宋_GB2312" w:hAnsi="宋体" w:eastAsia="仿宋_GB2312" w:cs="宋体"/>
          <w:color w:val="000000"/>
          <w:sz w:val="32"/>
          <w:szCs w:val="32"/>
          <w:lang w:eastAsia="zh-CN"/>
        </w:rPr>
        <w:t>，各级政府或主管部门未适时组织开展资金专项督查扣</w:t>
      </w:r>
      <w:r>
        <w:rPr>
          <w:rFonts w:hint="eastAsia" w:ascii="仿宋_GB2312" w:hAnsi="宋体" w:eastAsia="仿宋_GB2312" w:cs="宋体"/>
          <w:color w:val="000000"/>
          <w:sz w:val="32"/>
          <w:szCs w:val="32"/>
          <w:lang w:val="en-US" w:eastAsia="zh-CN"/>
        </w:rPr>
        <w:t>0.5分，</w:t>
      </w:r>
      <w:r>
        <w:rPr>
          <w:rFonts w:hint="eastAsia" w:ascii="仿宋_GB2312" w:hAnsi="宋体" w:eastAsia="仿宋_GB2312" w:cs="宋体"/>
          <w:color w:val="000000"/>
          <w:sz w:val="32"/>
          <w:szCs w:val="32"/>
          <w:lang w:eastAsia="zh-CN"/>
        </w:rPr>
        <w:t>未进行监督检查扣</w:t>
      </w:r>
      <w:r>
        <w:rPr>
          <w:rFonts w:hint="eastAsia" w:ascii="仿宋_GB2312" w:hAnsi="宋体" w:eastAsia="仿宋_GB2312" w:cs="宋体"/>
          <w:color w:val="000000"/>
          <w:sz w:val="32"/>
          <w:szCs w:val="32"/>
          <w:lang w:val="en-US" w:eastAsia="zh-CN"/>
        </w:rPr>
        <w:t>0.5分，财务决算规范，经有资质的中介机构审核，得0.5分</w:t>
      </w:r>
      <w:r>
        <w:rPr>
          <w:rFonts w:hint="eastAsia" w:ascii="仿宋_GB2312" w:hAnsi="宋体" w:eastAsia="仿宋_GB2312" w:cs="宋体"/>
          <w:color w:val="000000"/>
          <w:sz w:val="32"/>
          <w:szCs w:val="32"/>
        </w:rPr>
        <w:t>。</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（三）产出情况</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lang w:eastAsia="zh-CN"/>
        </w:rPr>
        <w:t>项目产出</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0分，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40</w:t>
      </w:r>
      <w:r>
        <w:rPr>
          <w:rFonts w:hint="eastAsia" w:ascii="仿宋_GB2312" w:hAnsi="宋体" w:eastAsia="仿宋_GB2312" w:cs="宋体"/>
          <w:color w:val="000000" w:themeColor="text1"/>
          <w:sz w:val="32"/>
          <w:szCs w:val="32"/>
          <w14:textFill>
            <w14:solidFill>
              <w14:schemeClr w14:val="tx1"/>
            </w14:solidFill>
          </w14:textFill>
        </w:rPr>
        <w:t>分）</w:t>
      </w:r>
    </w:p>
    <w:p>
      <w:pPr>
        <w:numPr>
          <w:ilvl w:val="0"/>
          <w:numId w:val="3"/>
        </w:num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申报实施内容完成程度</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满分</w:t>
      </w:r>
      <w:r>
        <w:rPr>
          <w:rFonts w:hint="eastAsia" w:ascii="仿宋_GB2312" w:hAnsi="宋体" w:eastAsia="仿宋_GB2312" w:cs="宋体"/>
          <w:color w:val="000000"/>
          <w:sz w:val="32"/>
          <w:szCs w:val="32"/>
          <w:lang w:val="en-US" w:eastAsia="zh-CN"/>
        </w:rPr>
        <w:t>15分</w:t>
      </w:r>
      <w:r>
        <w:rPr>
          <w:rFonts w:hint="eastAsia" w:ascii="仿宋_GB2312" w:hAnsi="宋体" w:eastAsia="仿宋_GB2312" w:cs="宋体"/>
          <w:color w:val="000000"/>
          <w:sz w:val="32"/>
          <w:szCs w:val="32"/>
        </w:rPr>
        <w:t>，得</w:t>
      </w:r>
      <w:r>
        <w:rPr>
          <w:rFonts w:hint="eastAsia" w:ascii="仿宋_GB2312" w:hAnsi="宋体" w:eastAsia="仿宋_GB2312" w:cs="宋体"/>
          <w:color w:val="000000"/>
          <w:sz w:val="32"/>
          <w:szCs w:val="32"/>
          <w:lang w:val="en-US" w:eastAsia="zh-CN"/>
        </w:rPr>
        <w:t>15</w:t>
      </w:r>
      <w:r>
        <w:rPr>
          <w:rFonts w:hint="eastAsia" w:ascii="仿宋_GB2312" w:hAnsi="宋体" w:eastAsia="仿宋_GB2312" w:cs="宋体"/>
          <w:color w:val="000000"/>
          <w:sz w:val="32"/>
          <w:szCs w:val="32"/>
        </w:rPr>
        <w:t>分。</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实际完成</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实际产出数</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计划产出数）</w:t>
      </w:r>
      <w:r>
        <w:rPr>
          <w:rFonts w:hint="eastAsia" w:ascii="仿宋_GB2312" w:hAnsi="宋体" w:eastAsia="仿宋_GB2312" w:cs="宋体"/>
          <w:sz w:val="32"/>
          <w:szCs w:val="32"/>
        </w:rPr>
        <w:t>×100%</w:t>
      </w:r>
    </w:p>
    <w:p>
      <w:pPr>
        <w:ind w:firstLine="960" w:firstLineChars="300"/>
        <w:rPr>
          <w:rFonts w:hint="default" w:ascii="仿宋_GB2312" w:hAnsi="宋体" w:eastAsia="仿宋_GB2312" w:cs="宋体"/>
          <w:color w:val="000000"/>
          <w:sz w:val="32"/>
          <w:szCs w:val="32"/>
          <w:lang w:val="en-US" w:eastAsia="zh-CN"/>
        </w:rPr>
      </w:pPr>
      <w:r>
        <w:rPr>
          <w:rFonts w:hint="eastAsia" w:ascii="仿宋_GB2312" w:hAnsi="宋体" w:eastAsia="仿宋_GB2312" w:cs="宋体"/>
          <w:sz w:val="32"/>
          <w:szCs w:val="32"/>
          <w:lang w:val="en-US" w:eastAsia="zh-CN"/>
        </w:rPr>
        <w:t>=（600.1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600.1）</w:t>
      </w:r>
      <w:r>
        <w:rPr>
          <w:rFonts w:hint="eastAsia" w:ascii="仿宋_GB2312" w:hAnsi="宋体" w:eastAsia="仿宋_GB2312" w:cs="宋体"/>
          <w:sz w:val="32"/>
          <w:szCs w:val="32"/>
        </w:rPr>
        <w:t>×100%</w:t>
      </w:r>
      <w:r>
        <w:rPr>
          <w:rFonts w:hint="eastAsia" w:ascii="仿宋_GB2312" w:hAnsi="宋体" w:eastAsia="仿宋_GB2312" w:cs="宋体"/>
          <w:sz w:val="32"/>
          <w:szCs w:val="32"/>
          <w:lang w:val="en-US" w:eastAsia="zh-CN"/>
        </w:rPr>
        <w:t>=100%</w:t>
      </w:r>
    </w:p>
    <w:p>
      <w:pPr>
        <w:numPr>
          <w:ilvl w:val="0"/>
          <w:numId w:val="3"/>
        </w:numPr>
        <w:ind w:left="0" w:leftChars="0"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申报投资偏差率</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r>
        <w:rPr>
          <w:rFonts w:hint="eastAsia" w:ascii="仿宋_GB2312" w:hAnsi="宋体" w:eastAsia="仿宋_GB2312" w:cs="宋体"/>
          <w:color w:val="000000" w:themeColor="text1"/>
          <w:sz w:val="32"/>
          <w:szCs w:val="32"/>
          <w14:textFill>
            <w14:solidFill>
              <w14:schemeClr w14:val="tx1"/>
            </w14:solidFill>
          </w14:textFill>
        </w:rPr>
        <w:t>得</w:t>
      </w:r>
      <w:r>
        <w:rPr>
          <w:rFonts w:hint="eastAsia" w:ascii="仿宋_GB2312" w:hAnsi="宋体" w:eastAsia="仿宋_GB2312" w:cs="宋体"/>
          <w:color w:val="000000" w:themeColor="text1"/>
          <w:sz w:val="32"/>
          <w:szCs w:val="32"/>
          <w:lang w:val="en-US" w:eastAsia="zh-CN"/>
          <w14:textFill>
            <w14:solidFill>
              <w14:schemeClr w14:val="tx1"/>
            </w14:solidFill>
          </w14:textFill>
        </w:rPr>
        <w:t>5</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numPr>
          <w:ilvl w:val="0"/>
          <w:numId w:val="0"/>
        </w:num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“项目投资偏差率”</w:t>
      </w:r>
      <w:r>
        <w:rPr>
          <w:rFonts w:hint="eastAsia" w:ascii="仿宋_GB2312" w:hAnsi="宋体" w:eastAsia="仿宋_GB2312" w:cs="宋体"/>
          <w:color w:val="000000"/>
          <w:sz w:val="32"/>
          <w:szCs w:val="32"/>
          <w:lang w:val="en-US" w:eastAsia="zh-CN"/>
        </w:rPr>
        <w:t>=项目投资（或支出）完成率-100%</w:t>
      </w:r>
    </w:p>
    <w:p>
      <w:pPr>
        <w:numPr>
          <w:ilvl w:val="0"/>
          <w:numId w:val="0"/>
        </w:numPr>
        <w:ind w:firstLine="640" w:firstLineChars="200"/>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  </w:t>
      </w:r>
      <w:r>
        <w:rPr>
          <w:rFonts w:hint="eastAsia" w:ascii="仿宋_GB2312" w:hAnsi="宋体" w:eastAsia="仿宋_GB2312" w:cs="宋体"/>
          <w:sz w:val="32"/>
          <w:szCs w:val="32"/>
          <w:lang w:val="en-US" w:eastAsia="zh-CN"/>
        </w:rPr>
        <w:t>100%</w:t>
      </w:r>
      <w:r>
        <w:rPr>
          <w:rFonts w:hint="eastAsia" w:ascii="仿宋_GB2312" w:hAnsi="宋体" w:eastAsia="仿宋_GB2312" w:cs="宋体"/>
          <w:color w:val="000000"/>
          <w:sz w:val="32"/>
          <w:szCs w:val="32"/>
          <w:lang w:val="en-US" w:eastAsia="zh-CN"/>
        </w:rPr>
        <w:t>-100%=0%</w:t>
      </w:r>
    </w:p>
    <w:p>
      <w:pPr>
        <w:numPr>
          <w:ilvl w:val="0"/>
          <w:numId w:val="3"/>
        </w:numPr>
        <w:ind w:left="0" w:leftChars="0"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质量达标率</w:t>
      </w:r>
      <w:r>
        <w:rPr>
          <w:rFonts w:hint="eastAsia" w:ascii="仿宋_GB2312" w:hAnsi="宋体" w:eastAsia="仿宋_GB2312" w:cs="宋体"/>
          <w:color w:val="000000"/>
          <w:sz w:val="32"/>
          <w:szCs w:val="32"/>
        </w:rPr>
        <w:t>，符合指示，满分</w:t>
      </w:r>
      <w:r>
        <w:rPr>
          <w:rFonts w:hint="eastAsia" w:ascii="仿宋_GB2312" w:hAnsi="宋体" w:eastAsia="仿宋_GB2312" w:cs="宋体"/>
          <w:color w:val="000000"/>
          <w:sz w:val="32"/>
          <w:szCs w:val="32"/>
          <w:lang w:val="en-US" w:eastAsia="zh-CN"/>
        </w:rPr>
        <w:t>8</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8</w:t>
      </w:r>
      <w:r>
        <w:rPr>
          <w:rFonts w:hint="eastAsia" w:ascii="仿宋_GB2312" w:hAnsi="宋体" w:eastAsia="仿宋_GB2312" w:cs="宋体"/>
          <w:color w:val="000000"/>
          <w:sz w:val="32"/>
          <w:szCs w:val="32"/>
        </w:rPr>
        <w:t>分</w:t>
      </w:r>
    </w:p>
    <w:p>
      <w:pPr>
        <w:numPr>
          <w:ilvl w:val="0"/>
          <w:numId w:val="0"/>
        </w:numPr>
        <w:ind w:leftChars="200"/>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质量达标率</w:t>
      </w:r>
      <w:r>
        <w:rPr>
          <w:rFonts w:hint="eastAsia" w:ascii="仿宋_GB2312" w:hAnsi="宋体" w:eastAsia="仿宋_GB2312" w:cs="宋体"/>
          <w:color w:val="000000"/>
          <w:sz w:val="32"/>
          <w:szCs w:val="32"/>
          <w:lang w:val="en-US" w:eastAsia="zh-CN"/>
        </w:rPr>
        <w:t>=质量达标产出数</w:t>
      </w:r>
      <w:r>
        <w:rPr>
          <w:rFonts w:hint="eastAsia" w:ascii="仿宋_GB2312" w:hAnsi="仿宋_GB2312" w:eastAsia="仿宋_GB2312" w:cs="仿宋_GB2312"/>
          <w:kern w:val="0"/>
          <w:sz w:val="32"/>
          <w:szCs w:val="32"/>
        </w:rPr>
        <w:t>/实际产出数）×100%</w:t>
      </w:r>
      <w:r>
        <w:rPr>
          <w:rFonts w:hint="eastAsia" w:ascii="仿宋_GB2312" w:hAnsi="宋体" w:eastAsia="仿宋_GB2312" w:cs="宋体"/>
          <w:color w:val="000000"/>
          <w:sz w:val="32"/>
          <w:szCs w:val="32"/>
          <w:lang w:val="en-US" w:eastAsia="zh-CN"/>
        </w:rPr>
        <w:t>=600.1</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600.1</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100%=100%</w:t>
      </w:r>
    </w:p>
    <w:p>
      <w:pPr>
        <w:numPr>
          <w:ilvl w:val="0"/>
          <w:numId w:val="3"/>
        </w:numPr>
        <w:ind w:left="0" w:leftChars="0" w:firstLine="640" w:firstLineChars="200"/>
        <w:rPr>
          <w:rFonts w:hint="eastAsia" w:ascii="仿宋_GB2312" w:hAnsi="宋体" w:eastAsia="仿宋_GB2312" w:cs="宋体"/>
          <w:sz w:val="32"/>
          <w:szCs w:val="32"/>
        </w:rPr>
      </w:pPr>
      <w:r>
        <w:rPr>
          <w:rFonts w:hint="eastAsia" w:ascii="仿宋_GB2312" w:hAnsi="宋体" w:eastAsia="仿宋_GB2312" w:cs="宋体"/>
          <w:color w:val="000000"/>
          <w:sz w:val="32"/>
          <w:szCs w:val="32"/>
          <w:lang w:eastAsia="zh-CN"/>
        </w:rPr>
        <w:t>完成时限符合率</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分。</w:t>
      </w:r>
    </w:p>
    <w:p>
      <w:pPr>
        <w:numPr>
          <w:ilvl w:val="0"/>
          <w:numId w:val="0"/>
        </w:numPr>
        <w:ind w:leftChars="200" w:firstLine="320" w:firstLineChars="100"/>
        <w:rPr>
          <w:rFonts w:ascii="仿宋_GB2312" w:hAnsi="宋体" w:eastAsia="仿宋_GB2312" w:cs="宋体"/>
          <w:sz w:val="32"/>
          <w:szCs w:val="32"/>
        </w:rPr>
      </w:pPr>
      <w:r>
        <w:rPr>
          <w:rFonts w:hint="eastAsia" w:ascii="仿宋_GB2312" w:hAnsi="仿宋_GB2312" w:eastAsia="仿宋_GB2312" w:cs="仿宋_GB2312"/>
          <w:kern w:val="0"/>
          <w:sz w:val="32"/>
          <w:szCs w:val="32"/>
        </w:rPr>
        <w:t>完成时限符合率=符合申报时限要求的完工项目数/计划（或申报）项目数×100%</w:t>
      </w:r>
      <w:r>
        <w:rPr>
          <w:rFonts w:hint="eastAsia" w:ascii="仿宋_GB2312" w:hAnsi="宋体" w:eastAsia="仿宋_GB2312" w:cs="宋体"/>
          <w:color w:val="000000"/>
          <w:sz w:val="32"/>
          <w:szCs w:val="32"/>
          <w:lang w:val="en-US" w:eastAsia="zh-CN"/>
        </w:rPr>
        <w:t>=600.1</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600.1</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100%=100%</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宋体" w:eastAsia="仿宋_GB2312" w:cs="宋体"/>
          <w:sz w:val="32"/>
          <w:szCs w:val="32"/>
        </w:rPr>
        <w:t>（5）</w:t>
      </w:r>
      <w:r>
        <w:rPr>
          <w:rFonts w:hint="eastAsia" w:ascii="仿宋_GB2312" w:hAnsi="宋体" w:eastAsia="仿宋_GB2312" w:cs="宋体"/>
          <w:sz w:val="32"/>
          <w:szCs w:val="32"/>
          <w:lang w:eastAsia="zh-CN"/>
        </w:rPr>
        <w:t>财政资金放大倍数</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效益（满分</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分，得分</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w:t>
      </w:r>
      <w:r>
        <w:rPr>
          <w:rFonts w:hint="eastAsia" w:ascii="仿宋_GB2312" w:hAnsi="宋体" w:eastAsia="仿宋_GB2312" w:cs="宋体"/>
          <w:sz w:val="32"/>
          <w:szCs w:val="32"/>
          <w:lang w:eastAsia="zh-CN"/>
        </w:rPr>
        <w:t>促进了退休人员的收入提升，提高了生活水平</w:t>
      </w:r>
      <w:r>
        <w:rPr>
          <w:rFonts w:hint="eastAsia" w:ascii="仿宋_GB2312" w:hAnsi="宋体" w:eastAsia="仿宋_GB2312" w:cs="宋体"/>
          <w:sz w:val="32"/>
          <w:szCs w:val="32"/>
        </w:rPr>
        <w:t>。符合指标，得满分。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w:t>
      </w:r>
      <w:r>
        <w:rPr>
          <w:rFonts w:hint="eastAsia" w:ascii="仿宋_GB2312" w:hAnsi="宋体" w:eastAsia="仿宋_GB2312" w:cs="宋体"/>
          <w:sz w:val="32"/>
          <w:szCs w:val="32"/>
          <w:lang w:eastAsia="zh-CN"/>
        </w:rPr>
        <w:t>促进了项目单位和其他相关单位（群体）可持续发展，解决或缓解了行业、社会的矛盾及难题，促进了民生改善</w:t>
      </w:r>
      <w:r>
        <w:rPr>
          <w:rFonts w:hint="eastAsia" w:ascii="仿宋_GB2312" w:hAnsi="宋体" w:eastAsia="仿宋_GB2312" w:cs="宋体"/>
          <w:sz w:val="32"/>
          <w:szCs w:val="32"/>
        </w:rPr>
        <w:t>。符合指标，得满分。</w:t>
      </w:r>
    </w:p>
    <w:p>
      <w:pPr>
        <w:tabs>
          <w:tab w:val="right" w:pos="7942"/>
        </w:tabs>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（3）社会公众或服务对象满意度，大于95%的服务对象均满意。符合指标，得满分。</w:t>
      </w:r>
    </w:p>
    <w:p>
      <w:pPr>
        <w:tabs>
          <w:tab w:val="right" w:pos="7942"/>
        </w:tabs>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4）可持续影响，通过项目的实施，解决或缓解了行业、社会的矛盾及难题，保障行业正常发展、社会正常运行。</w:t>
      </w:r>
    </w:p>
    <w:p>
      <w:p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五</w:t>
      </w: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存在问题</w:t>
      </w:r>
    </w:p>
    <w:p>
      <w:pPr>
        <w:tabs>
          <w:tab w:val="right" w:pos="7942"/>
        </w:tabs>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对绩效目标完成情况重视不够。预算单位仅关注预算执行情况，是否实现年初绩效目标，没有关注或关注度不够</w:t>
      </w:r>
      <w:r>
        <w:rPr>
          <w:rFonts w:hint="eastAsia" w:ascii="仿宋_GB2312" w:hAnsi="Times New Roman" w:eastAsia="仿宋_GB2312" w:cs="Times New Roman"/>
          <w:sz w:val="32"/>
          <w:szCs w:val="32"/>
          <w:lang w:eastAsia="zh-CN"/>
        </w:rPr>
        <w:t>。省级配套资金未到位。</w:t>
      </w:r>
    </w:p>
    <w:p>
      <w:pPr>
        <w:numPr>
          <w:ilvl w:val="0"/>
          <w:numId w:val="4"/>
        </w:num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lang w:eastAsia="zh-CN"/>
        </w:rPr>
        <w:t>建议</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.上级拨付的专项资金，应在县级绩效管理和评价中予以扣除，否则影响预算执行和绩效价评工作。</w:t>
      </w:r>
    </w:p>
    <w:p>
      <w:pPr>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.财政部门应加强对预算单位整体绩效管理和评价工作的指导和帮助，通过案例和培训提高预算单位工作人员开展绩效管理和评价的工作能力。</w:t>
      </w:r>
    </w:p>
    <w:p>
      <w:p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七</w:t>
      </w: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其他需要说明的问题</w:t>
      </w:r>
    </w:p>
    <w:p>
      <w:pPr>
        <w:tabs>
          <w:tab w:val="right" w:pos="7942"/>
        </w:tabs>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无其他需要说明的问题。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w:t>
      </w:r>
      <w:r>
        <w:rPr>
          <w:rFonts w:hint="eastAsia"/>
        </w:rPr>
        <w:t xml:space="preserve"> </w:t>
      </w:r>
      <w:r>
        <w:rPr>
          <w:rFonts w:hint="eastAsia" w:ascii="仿宋_GB2312" w:eastAsia="仿宋_GB2312"/>
          <w:sz w:val="32"/>
          <w:szCs w:val="32"/>
        </w:rPr>
        <w:t>《</w:t>
      </w:r>
      <w:r>
        <w:rPr>
          <w:rFonts w:hint="eastAsia" w:ascii="仿宋_GB2312" w:hAnsi="Times New Roman" w:eastAsia="仿宋_GB2312" w:cs="Times New Roman"/>
          <w:sz w:val="32"/>
          <w:szCs w:val="32"/>
        </w:rPr>
        <w:t>项目支出指标绩效评价自评表》</w:t>
      </w:r>
    </w:p>
    <w:p>
      <w:pPr>
        <w:ind w:firstLine="645"/>
        <w:rPr>
          <w:rFonts w:ascii="仿宋_GB2312" w:hAnsi="Times New Roman" w:eastAsia="仿宋_GB2312" w:cs="Times New Roman"/>
          <w:sz w:val="32"/>
          <w:szCs w:val="32"/>
        </w:rPr>
      </w:pPr>
    </w:p>
    <w:p>
      <w:pPr>
        <w:ind w:firstLine="645"/>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日</w:t>
      </w:r>
      <w:bookmarkStart w:id="2" w:name="_GoBack"/>
      <w:bookmarkEnd w:id="2"/>
    </w:p>
    <w:sectPr>
      <w:footerReference r:id="rId3"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793300"/>
      <w:docPartObj>
        <w:docPartGallery w:val="autotext"/>
      </w:docPartObj>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67CC6"/>
    <w:multiLevelType w:val="singleLevel"/>
    <w:tmpl w:val="97267CC6"/>
    <w:lvl w:ilvl="0" w:tentative="0">
      <w:start w:val="1"/>
      <w:numFmt w:val="decimal"/>
      <w:suff w:val="nothing"/>
      <w:lvlText w:val="（%1）"/>
      <w:lvlJc w:val="left"/>
    </w:lvl>
  </w:abstractNum>
  <w:abstractNum w:abstractNumId="1">
    <w:nsid w:val="DFD947B4"/>
    <w:multiLevelType w:val="singleLevel"/>
    <w:tmpl w:val="DFD947B4"/>
    <w:lvl w:ilvl="0" w:tentative="0">
      <w:start w:val="6"/>
      <w:numFmt w:val="chineseCounting"/>
      <w:suff w:val="nothing"/>
      <w:lvlText w:val="（%1）"/>
      <w:lvlJc w:val="left"/>
      <w:rPr>
        <w:rFonts w:hint="eastAsia"/>
      </w:rPr>
    </w:lvl>
  </w:abstractNum>
  <w:abstractNum w:abstractNumId="2">
    <w:nsid w:val="0E0884FA"/>
    <w:multiLevelType w:val="singleLevel"/>
    <w:tmpl w:val="0E0884FA"/>
    <w:lvl w:ilvl="0" w:tentative="0">
      <w:start w:val="4"/>
      <w:numFmt w:val="decimal"/>
      <w:suff w:val="nothing"/>
      <w:lvlText w:val="（%1）"/>
      <w:lvlJc w:val="left"/>
    </w:lvl>
  </w:abstractNum>
  <w:abstractNum w:abstractNumId="3">
    <w:nsid w:val="4A29A688"/>
    <w:multiLevelType w:val="singleLevel"/>
    <w:tmpl w:val="4A29A68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212D5D"/>
    <w:rsid w:val="00231087"/>
    <w:rsid w:val="00242522"/>
    <w:rsid w:val="00261A18"/>
    <w:rsid w:val="002C55E1"/>
    <w:rsid w:val="002C67B3"/>
    <w:rsid w:val="002D22A3"/>
    <w:rsid w:val="002D3B4F"/>
    <w:rsid w:val="002F2C87"/>
    <w:rsid w:val="0030032F"/>
    <w:rsid w:val="00320263"/>
    <w:rsid w:val="003231AE"/>
    <w:rsid w:val="00331F07"/>
    <w:rsid w:val="00352B04"/>
    <w:rsid w:val="00353E40"/>
    <w:rsid w:val="00367607"/>
    <w:rsid w:val="00377C14"/>
    <w:rsid w:val="003929D6"/>
    <w:rsid w:val="003A714B"/>
    <w:rsid w:val="003D4DCC"/>
    <w:rsid w:val="00403EA2"/>
    <w:rsid w:val="00407284"/>
    <w:rsid w:val="00407807"/>
    <w:rsid w:val="00446A74"/>
    <w:rsid w:val="004567E9"/>
    <w:rsid w:val="004B26A3"/>
    <w:rsid w:val="004E4E11"/>
    <w:rsid w:val="00527EA4"/>
    <w:rsid w:val="005550AC"/>
    <w:rsid w:val="00562F55"/>
    <w:rsid w:val="005775F3"/>
    <w:rsid w:val="00580D7C"/>
    <w:rsid w:val="005B1EC0"/>
    <w:rsid w:val="005E006C"/>
    <w:rsid w:val="005E2F20"/>
    <w:rsid w:val="00615069"/>
    <w:rsid w:val="006202F6"/>
    <w:rsid w:val="00622B96"/>
    <w:rsid w:val="006423E9"/>
    <w:rsid w:val="00654521"/>
    <w:rsid w:val="00665730"/>
    <w:rsid w:val="0067529A"/>
    <w:rsid w:val="0068227C"/>
    <w:rsid w:val="0069608F"/>
    <w:rsid w:val="006979A2"/>
    <w:rsid w:val="006B2955"/>
    <w:rsid w:val="006C2D32"/>
    <w:rsid w:val="006C625B"/>
    <w:rsid w:val="006C6D48"/>
    <w:rsid w:val="006D12EF"/>
    <w:rsid w:val="006D3D01"/>
    <w:rsid w:val="006D7F1A"/>
    <w:rsid w:val="006F20D5"/>
    <w:rsid w:val="006F5020"/>
    <w:rsid w:val="0070420B"/>
    <w:rsid w:val="00711739"/>
    <w:rsid w:val="00727B50"/>
    <w:rsid w:val="00764C05"/>
    <w:rsid w:val="00776A7E"/>
    <w:rsid w:val="00806DFC"/>
    <w:rsid w:val="008229C0"/>
    <w:rsid w:val="00834C98"/>
    <w:rsid w:val="008662FA"/>
    <w:rsid w:val="008716C6"/>
    <w:rsid w:val="00874D58"/>
    <w:rsid w:val="008C2B0D"/>
    <w:rsid w:val="008C50B4"/>
    <w:rsid w:val="008E4049"/>
    <w:rsid w:val="00927166"/>
    <w:rsid w:val="009373E7"/>
    <w:rsid w:val="0094313E"/>
    <w:rsid w:val="009511C6"/>
    <w:rsid w:val="009661F9"/>
    <w:rsid w:val="00973878"/>
    <w:rsid w:val="00981BAF"/>
    <w:rsid w:val="009B6DCB"/>
    <w:rsid w:val="009B7B62"/>
    <w:rsid w:val="009E16B5"/>
    <w:rsid w:val="009E4397"/>
    <w:rsid w:val="00A14BBF"/>
    <w:rsid w:val="00A15689"/>
    <w:rsid w:val="00A35FE6"/>
    <w:rsid w:val="00A41AAA"/>
    <w:rsid w:val="00A45B5E"/>
    <w:rsid w:val="00A503A9"/>
    <w:rsid w:val="00A67446"/>
    <w:rsid w:val="00A90742"/>
    <w:rsid w:val="00AC4B6E"/>
    <w:rsid w:val="00AD16CA"/>
    <w:rsid w:val="00B13776"/>
    <w:rsid w:val="00B352C5"/>
    <w:rsid w:val="00B47DAD"/>
    <w:rsid w:val="00B57B4E"/>
    <w:rsid w:val="00B60502"/>
    <w:rsid w:val="00B767B9"/>
    <w:rsid w:val="00BA67FC"/>
    <w:rsid w:val="00BB0E5E"/>
    <w:rsid w:val="00BB520E"/>
    <w:rsid w:val="00C0193E"/>
    <w:rsid w:val="00C143D4"/>
    <w:rsid w:val="00C151B2"/>
    <w:rsid w:val="00C43DC6"/>
    <w:rsid w:val="00C71780"/>
    <w:rsid w:val="00D17C7A"/>
    <w:rsid w:val="00D25F1D"/>
    <w:rsid w:val="00D56167"/>
    <w:rsid w:val="00D6099B"/>
    <w:rsid w:val="00D77B76"/>
    <w:rsid w:val="00D8283E"/>
    <w:rsid w:val="00DD0CBD"/>
    <w:rsid w:val="00DD7CCF"/>
    <w:rsid w:val="00DF29CE"/>
    <w:rsid w:val="00E03535"/>
    <w:rsid w:val="00E07FF2"/>
    <w:rsid w:val="00E30507"/>
    <w:rsid w:val="00E3338D"/>
    <w:rsid w:val="00E56E76"/>
    <w:rsid w:val="00E63EDA"/>
    <w:rsid w:val="00EC0641"/>
    <w:rsid w:val="00ED68AA"/>
    <w:rsid w:val="00EE4D18"/>
    <w:rsid w:val="00EF21E4"/>
    <w:rsid w:val="00F33E9E"/>
    <w:rsid w:val="00F436DD"/>
    <w:rsid w:val="00F44C2F"/>
    <w:rsid w:val="00F63AE4"/>
    <w:rsid w:val="00F853EE"/>
    <w:rsid w:val="00F9277B"/>
    <w:rsid w:val="00FD4143"/>
    <w:rsid w:val="00FE53D1"/>
    <w:rsid w:val="00FF7420"/>
    <w:rsid w:val="01E9766E"/>
    <w:rsid w:val="01F522E2"/>
    <w:rsid w:val="03256ED2"/>
    <w:rsid w:val="04BA3F69"/>
    <w:rsid w:val="05370132"/>
    <w:rsid w:val="05AF3303"/>
    <w:rsid w:val="05D33028"/>
    <w:rsid w:val="05FB4F0B"/>
    <w:rsid w:val="069C69D4"/>
    <w:rsid w:val="075823C8"/>
    <w:rsid w:val="07951479"/>
    <w:rsid w:val="07F34927"/>
    <w:rsid w:val="08492962"/>
    <w:rsid w:val="08645B24"/>
    <w:rsid w:val="0AB17038"/>
    <w:rsid w:val="0AE53782"/>
    <w:rsid w:val="0B417DBE"/>
    <w:rsid w:val="0C1366A2"/>
    <w:rsid w:val="0DDA0DC9"/>
    <w:rsid w:val="0E2F503A"/>
    <w:rsid w:val="0F6F2A86"/>
    <w:rsid w:val="0FBD65AB"/>
    <w:rsid w:val="104C3CC8"/>
    <w:rsid w:val="105D4920"/>
    <w:rsid w:val="107E0076"/>
    <w:rsid w:val="10CD0F54"/>
    <w:rsid w:val="11001B2F"/>
    <w:rsid w:val="11335F5C"/>
    <w:rsid w:val="119D2625"/>
    <w:rsid w:val="11AC084B"/>
    <w:rsid w:val="11C709DF"/>
    <w:rsid w:val="11D82C89"/>
    <w:rsid w:val="11E547E9"/>
    <w:rsid w:val="131634B5"/>
    <w:rsid w:val="14153995"/>
    <w:rsid w:val="1472284A"/>
    <w:rsid w:val="14AB3C53"/>
    <w:rsid w:val="14F41B4E"/>
    <w:rsid w:val="156478D4"/>
    <w:rsid w:val="15892A76"/>
    <w:rsid w:val="16CE2212"/>
    <w:rsid w:val="170A15B2"/>
    <w:rsid w:val="17B23255"/>
    <w:rsid w:val="181C3BB2"/>
    <w:rsid w:val="1A725205"/>
    <w:rsid w:val="1AF65468"/>
    <w:rsid w:val="1B4321C1"/>
    <w:rsid w:val="1B5717AC"/>
    <w:rsid w:val="1B8421EE"/>
    <w:rsid w:val="1C4205CA"/>
    <w:rsid w:val="1D0C6D71"/>
    <w:rsid w:val="1D921BAF"/>
    <w:rsid w:val="1E30116C"/>
    <w:rsid w:val="1E924D1A"/>
    <w:rsid w:val="1EB74AB3"/>
    <w:rsid w:val="1ED80512"/>
    <w:rsid w:val="1F9622D8"/>
    <w:rsid w:val="1F9A52BA"/>
    <w:rsid w:val="1FA9633A"/>
    <w:rsid w:val="20110D22"/>
    <w:rsid w:val="202521E5"/>
    <w:rsid w:val="22076BE2"/>
    <w:rsid w:val="222861D2"/>
    <w:rsid w:val="22B02BD6"/>
    <w:rsid w:val="23461E1B"/>
    <w:rsid w:val="23805FB1"/>
    <w:rsid w:val="23CE31B2"/>
    <w:rsid w:val="23D16614"/>
    <w:rsid w:val="24FC32A2"/>
    <w:rsid w:val="253C170E"/>
    <w:rsid w:val="269007AC"/>
    <w:rsid w:val="2753629D"/>
    <w:rsid w:val="27657E68"/>
    <w:rsid w:val="27802F28"/>
    <w:rsid w:val="28857712"/>
    <w:rsid w:val="295F4018"/>
    <w:rsid w:val="29626A9F"/>
    <w:rsid w:val="2A531481"/>
    <w:rsid w:val="2AE63617"/>
    <w:rsid w:val="2AE94559"/>
    <w:rsid w:val="2D3E784C"/>
    <w:rsid w:val="2DAA101C"/>
    <w:rsid w:val="2E8D7B7E"/>
    <w:rsid w:val="2ED67F8E"/>
    <w:rsid w:val="2EDD3AA0"/>
    <w:rsid w:val="2EDE2B55"/>
    <w:rsid w:val="2F1A63FD"/>
    <w:rsid w:val="2F30558F"/>
    <w:rsid w:val="2F313C23"/>
    <w:rsid w:val="2F6D32F5"/>
    <w:rsid w:val="2FC37443"/>
    <w:rsid w:val="317B277B"/>
    <w:rsid w:val="31A76F49"/>
    <w:rsid w:val="32AF2922"/>
    <w:rsid w:val="32FA24A4"/>
    <w:rsid w:val="33184EFB"/>
    <w:rsid w:val="35996E0F"/>
    <w:rsid w:val="365F372C"/>
    <w:rsid w:val="36921BA4"/>
    <w:rsid w:val="36F72E3B"/>
    <w:rsid w:val="375E6F18"/>
    <w:rsid w:val="3A6341FE"/>
    <w:rsid w:val="3B0C7005"/>
    <w:rsid w:val="3B813CB3"/>
    <w:rsid w:val="3C861E48"/>
    <w:rsid w:val="3D593ED6"/>
    <w:rsid w:val="3DBF18E6"/>
    <w:rsid w:val="3E14639C"/>
    <w:rsid w:val="3E326E3A"/>
    <w:rsid w:val="3EDB1895"/>
    <w:rsid w:val="3EED3E7B"/>
    <w:rsid w:val="3F5F63BD"/>
    <w:rsid w:val="3FE20F15"/>
    <w:rsid w:val="40592B92"/>
    <w:rsid w:val="406E5924"/>
    <w:rsid w:val="408B04B5"/>
    <w:rsid w:val="40FF362D"/>
    <w:rsid w:val="412910BA"/>
    <w:rsid w:val="41D07D1D"/>
    <w:rsid w:val="42063590"/>
    <w:rsid w:val="42A35E92"/>
    <w:rsid w:val="42B031D4"/>
    <w:rsid w:val="42E74CBB"/>
    <w:rsid w:val="43745DCC"/>
    <w:rsid w:val="439A18C5"/>
    <w:rsid w:val="44A27F5C"/>
    <w:rsid w:val="44F446CE"/>
    <w:rsid w:val="44FE4A3A"/>
    <w:rsid w:val="453C0BC4"/>
    <w:rsid w:val="45807266"/>
    <w:rsid w:val="46DD3E30"/>
    <w:rsid w:val="46E02345"/>
    <w:rsid w:val="46ED25F7"/>
    <w:rsid w:val="46F87A0A"/>
    <w:rsid w:val="47C75890"/>
    <w:rsid w:val="48580C1A"/>
    <w:rsid w:val="493F1243"/>
    <w:rsid w:val="4AF8502F"/>
    <w:rsid w:val="4B5569C2"/>
    <w:rsid w:val="4B605A18"/>
    <w:rsid w:val="4BCF254E"/>
    <w:rsid w:val="4CF130AA"/>
    <w:rsid w:val="4D020BDE"/>
    <w:rsid w:val="4DAA4E48"/>
    <w:rsid w:val="4E3F1223"/>
    <w:rsid w:val="4E680A2D"/>
    <w:rsid w:val="4E8C2F00"/>
    <w:rsid w:val="4F0950E0"/>
    <w:rsid w:val="4F295561"/>
    <w:rsid w:val="4F466E52"/>
    <w:rsid w:val="4F590496"/>
    <w:rsid w:val="4F6F3149"/>
    <w:rsid w:val="4FC71812"/>
    <w:rsid w:val="50476C8E"/>
    <w:rsid w:val="508F056F"/>
    <w:rsid w:val="514D57E1"/>
    <w:rsid w:val="51670E75"/>
    <w:rsid w:val="51A56A68"/>
    <w:rsid w:val="52184857"/>
    <w:rsid w:val="523C1EA5"/>
    <w:rsid w:val="52E96A5A"/>
    <w:rsid w:val="53253CAC"/>
    <w:rsid w:val="53985766"/>
    <w:rsid w:val="54225434"/>
    <w:rsid w:val="552D41B3"/>
    <w:rsid w:val="55FC7837"/>
    <w:rsid w:val="55FE7404"/>
    <w:rsid w:val="56013F66"/>
    <w:rsid w:val="5621458C"/>
    <w:rsid w:val="56DA233C"/>
    <w:rsid w:val="57B170DF"/>
    <w:rsid w:val="58127FE0"/>
    <w:rsid w:val="58573A2B"/>
    <w:rsid w:val="586674A3"/>
    <w:rsid w:val="58F07AA4"/>
    <w:rsid w:val="59404373"/>
    <w:rsid w:val="59B4569B"/>
    <w:rsid w:val="5A375EF7"/>
    <w:rsid w:val="5AAD3802"/>
    <w:rsid w:val="5AD5144C"/>
    <w:rsid w:val="5AE26F9C"/>
    <w:rsid w:val="5C880CD2"/>
    <w:rsid w:val="5C9D168C"/>
    <w:rsid w:val="5D7C2128"/>
    <w:rsid w:val="5DD73A39"/>
    <w:rsid w:val="5E5F2ABD"/>
    <w:rsid w:val="5EBF6845"/>
    <w:rsid w:val="5EFA0AD2"/>
    <w:rsid w:val="5F5078FB"/>
    <w:rsid w:val="5F7938FF"/>
    <w:rsid w:val="5FF07FF4"/>
    <w:rsid w:val="6013707A"/>
    <w:rsid w:val="605C6708"/>
    <w:rsid w:val="60EA4BE8"/>
    <w:rsid w:val="60FA3A4C"/>
    <w:rsid w:val="62357B08"/>
    <w:rsid w:val="624766C9"/>
    <w:rsid w:val="62DA2E9D"/>
    <w:rsid w:val="62DE7A07"/>
    <w:rsid w:val="65E6319A"/>
    <w:rsid w:val="664E70AF"/>
    <w:rsid w:val="66C36545"/>
    <w:rsid w:val="66DD03C3"/>
    <w:rsid w:val="68712A8B"/>
    <w:rsid w:val="687A31D1"/>
    <w:rsid w:val="688C5809"/>
    <w:rsid w:val="68ED070D"/>
    <w:rsid w:val="6994257B"/>
    <w:rsid w:val="69ED2FF0"/>
    <w:rsid w:val="69F03DA4"/>
    <w:rsid w:val="6AA67CC7"/>
    <w:rsid w:val="6B2E261C"/>
    <w:rsid w:val="6B3866B1"/>
    <w:rsid w:val="6BE926F3"/>
    <w:rsid w:val="6E8315FF"/>
    <w:rsid w:val="6FC709A4"/>
    <w:rsid w:val="6FD9241D"/>
    <w:rsid w:val="6FDA29C2"/>
    <w:rsid w:val="70040A4F"/>
    <w:rsid w:val="70921CF7"/>
    <w:rsid w:val="70EA4160"/>
    <w:rsid w:val="7235312F"/>
    <w:rsid w:val="72895354"/>
    <w:rsid w:val="72975E3D"/>
    <w:rsid w:val="72AE0D2D"/>
    <w:rsid w:val="730A4817"/>
    <w:rsid w:val="73185FDA"/>
    <w:rsid w:val="74AE193A"/>
    <w:rsid w:val="762235FB"/>
    <w:rsid w:val="78183F08"/>
    <w:rsid w:val="782A181F"/>
    <w:rsid w:val="790278CB"/>
    <w:rsid w:val="795D1970"/>
    <w:rsid w:val="79864091"/>
    <w:rsid w:val="7A17206F"/>
    <w:rsid w:val="7B30232D"/>
    <w:rsid w:val="7B6B0D24"/>
    <w:rsid w:val="7C3E1EC0"/>
    <w:rsid w:val="7D6437CE"/>
    <w:rsid w:val="7EF556B2"/>
    <w:rsid w:val="7F95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60ADC-E810-4ED8-A9B4-E7A3CA5496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875</Words>
  <Characters>4989</Characters>
  <Lines>41</Lines>
  <Paragraphs>11</Paragraphs>
  <TotalTime>51</TotalTime>
  <ScaleCrop>false</ScaleCrop>
  <LinksUpToDate>false</LinksUpToDate>
  <CharactersWithSpaces>5853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2021-12-14T06:44:00Z</dcterms:created>
  <dc:creator>微软中国</dc:creator>
  <cp:lastModifiedBy>Administrator</cp:lastModifiedBy>
  <cp:lastPrinted>2023-01-03T02:45:00Z</cp:lastPrinted>
  <dcterms:modified xsi:type="dcterms:W3CDTF">2023-12-11T01:55:11Z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