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sz w:val="48"/>
          <w:szCs w:val="48"/>
        </w:rPr>
      </w:pPr>
      <w:r>
        <w:rPr>
          <w:rFonts w:hint="eastAsia"/>
          <w:sz w:val="48"/>
          <w:szCs w:val="48"/>
          <w:lang w:eastAsia="zh-CN"/>
        </w:rPr>
        <w:t>安丰塘镇</w:t>
      </w:r>
      <w:r>
        <w:rPr>
          <w:sz w:val="48"/>
          <w:szCs w:val="48"/>
        </w:rPr>
        <w:t>部门绩效自评报告</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color w:val="333333"/>
          <w:sz w:val="32"/>
          <w:szCs w:val="32"/>
          <w:shd w:val="clear" w:color="auto" w:fill="FFFFFF"/>
        </w:rPr>
      </w:pPr>
      <w:r>
        <w:rPr>
          <w:rFonts w:ascii="仿宋_GB2312" w:eastAsia="仿宋_GB2312"/>
          <w:color w:val="333333"/>
          <w:sz w:val="32"/>
          <w:szCs w:val="32"/>
          <w:shd w:val="clear" w:color="auto" w:fill="FFFFFF"/>
        </w:rPr>
        <w:t>根据《安徽省财政厅关于印发〈安徽省省级部门预算绩效自评管理暂行办法〉的通知》和《中共寿县县委 寿县人民政府关于全面实施预算绩效管理的落实意见》（寿发〔2019〕20 号）、《寿县财政局关于印发〈寿县县级部门预算绩效自评管理暂行办法〉的通知》（寿财绩〔2021〕41 号）文件规定，</w:t>
      </w:r>
      <w:r>
        <w:rPr>
          <w:rFonts w:hint="eastAsia" w:ascii="仿宋_GB2312" w:eastAsia="仿宋_GB2312"/>
          <w:color w:val="333333"/>
          <w:sz w:val="32"/>
          <w:szCs w:val="32"/>
          <w:shd w:val="clear" w:color="auto" w:fill="FFFFFF"/>
        </w:rPr>
        <w:t>结合我镇年度工作任务，全面推进预算绩效管理，不断提高财政预算资金和专项资金的使用效益。现将相关情况自评如下。</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黑体" w:hAnsi="黑体" w:eastAsia="黑体" w:cs="宋体"/>
          <w:color w:val="333333"/>
          <w:kern w:val="0"/>
          <w:sz w:val="32"/>
          <w:szCs w:val="32"/>
        </w:rPr>
      </w:pPr>
      <w:r>
        <w:rPr>
          <w:rFonts w:ascii="黑体" w:hAnsi="黑体" w:eastAsia="黑体" w:cs="宋体"/>
          <w:color w:val="333333"/>
          <w:kern w:val="0"/>
          <w:sz w:val="32"/>
          <w:szCs w:val="32"/>
        </w:rPr>
        <w:t>一</w:t>
      </w:r>
      <w:r>
        <w:rPr>
          <w:rFonts w:hint="eastAsia" w:ascii="黑体" w:hAnsi="黑体" w:eastAsia="黑体" w:cs="宋体"/>
          <w:color w:val="333333"/>
          <w:kern w:val="0"/>
          <w:sz w:val="32"/>
          <w:szCs w:val="32"/>
          <w:lang w:eastAsia="zh-CN"/>
        </w:rPr>
        <w:t>、</w:t>
      </w:r>
      <w:r>
        <w:rPr>
          <w:rFonts w:ascii="黑体" w:hAnsi="黑体" w:eastAsia="黑体" w:cs="宋体"/>
          <w:color w:val="333333"/>
          <w:kern w:val="0"/>
          <w:sz w:val="32"/>
          <w:szCs w:val="32"/>
        </w:rPr>
        <w:t>部门基本情况。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color w:val="FF0000"/>
          <w:sz w:val="32"/>
          <w:szCs w:val="32"/>
          <w:shd w:val="clear" w:color="auto" w:fill="FFFFFF"/>
        </w:rPr>
      </w:pPr>
      <w:r>
        <w:rPr>
          <w:rFonts w:hint="eastAsia" w:ascii="仿宋_GB2312" w:eastAsia="仿宋_GB2312"/>
          <w:color w:val="333333"/>
          <w:sz w:val="32"/>
          <w:szCs w:val="32"/>
          <w:shd w:val="clear" w:color="auto" w:fill="FFFFFF"/>
        </w:rPr>
        <w:t>为全面做好单位预算绩效管理工作，经镇党委研究决定，成立了镇预算绩效管理领导小组，镇党委书记、镇长为组长，镇党委副书记为副组长，二级机构负责人为小组成员。主要职责：负责研究提出预算绩效管理制度、方法，并组织实施；负责审查本部门绩效目标和绩效指标；负责组织和监督本部门预算绩效的执行；负责对上级财政支出重点项目进行绩效评价并提出绩效问责和奖惩建议；负责绩效评价信息管理工作等。领导小组下设办公室在财政所，财政所负责预算绩效管理的日常工作。</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黑体" w:hAnsi="黑体" w:eastAsia="黑体" w:cs="宋体"/>
          <w:color w:val="auto"/>
          <w:kern w:val="0"/>
          <w:sz w:val="32"/>
          <w:szCs w:val="32"/>
        </w:rPr>
      </w:pPr>
      <w:r>
        <w:rPr>
          <w:rFonts w:ascii="黑体" w:hAnsi="黑体" w:eastAsia="黑体" w:cs="宋体"/>
          <w:color w:val="auto"/>
          <w:kern w:val="0"/>
          <w:sz w:val="32"/>
          <w:szCs w:val="32"/>
        </w:rPr>
        <w:t>二</w:t>
      </w:r>
      <w:r>
        <w:rPr>
          <w:rFonts w:hint="eastAsia" w:ascii="黑体" w:hAnsi="黑体" w:eastAsia="黑体" w:cs="宋体"/>
          <w:color w:val="auto"/>
          <w:kern w:val="0"/>
          <w:sz w:val="32"/>
          <w:szCs w:val="32"/>
          <w:lang w:eastAsia="zh-CN"/>
        </w:rPr>
        <w:t>、</w:t>
      </w:r>
      <w:r>
        <w:rPr>
          <w:rFonts w:ascii="黑体" w:hAnsi="黑体" w:eastAsia="黑体" w:cs="宋体"/>
          <w:color w:val="auto"/>
          <w:kern w:val="0"/>
          <w:sz w:val="32"/>
          <w:szCs w:val="32"/>
        </w:rPr>
        <w:t>部门预算执行管理情况</w:t>
      </w:r>
      <w:r>
        <w:rPr>
          <w:rFonts w:hint="eastAsia" w:ascii="黑体" w:hAnsi="黑体" w:eastAsia="黑体" w:cs="宋体"/>
          <w:color w:val="auto"/>
          <w:kern w:val="0"/>
          <w:sz w:val="32"/>
          <w:szCs w:val="32"/>
        </w:rPr>
        <w:t>和2</w:t>
      </w:r>
      <w:r>
        <w:rPr>
          <w:rFonts w:ascii="黑体" w:hAnsi="黑体" w:eastAsia="黑体" w:cs="宋体"/>
          <w:color w:val="auto"/>
          <w:kern w:val="0"/>
          <w:sz w:val="32"/>
          <w:szCs w:val="32"/>
        </w:rPr>
        <w:t>022年度部门整体支出。</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color w:val="333333"/>
          <w:sz w:val="32"/>
          <w:szCs w:val="32"/>
          <w:shd w:val="clear" w:color="auto" w:fill="FFFFFF"/>
        </w:rPr>
      </w:pPr>
      <w:r>
        <w:rPr>
          <w:rFonts w:ascii="仿宋_GB2312" w:eastAsia="仿宋_GB2312"/>
          <w:color w:val="auto"/>
          <w:sz w:val="32"/>
          <w:szCs w:val="32"/>
          <w:shd w:val="clear" w:color="auto" w:fill="FFFFFF"/>
        </w:rPr>
        <w:t>我镇</w:t>
      </w:r>
      <w:r>
        <w:rPr>
          <w:rFonts w:hint="eastAsia" w:ascii="仿宋_GB2312" w:eastAsia="仿宋_GB2312"/>
          <w:color w:val="auto"/>
          <w:sz w:val="32"/>
          <w:szCs w:val="32"/>
          <w:shd w:val="clear" w:color="auto" w:fill="FFFFFF"/>
        </w:rPr>
        <w:t>2</w:t>
      </w:r>
      <w:r>
        <w:rPr>
          <w:rFonts w:ascii="仿宋_GB2312" w:eastAsia="仿宋_GB2312"/>
          <w:color w:val="auto"/>
          <w:sz w:val="32"/>
          <w:szCs w:val="32"/>
          <w:shd w:val="clear" w:color="auto" w:fill="FFFFFF"/>
        </w:rPr>
        <w:t>022年度预算金额为</w:t>
      </w:r>
      <w:r>
        <w:rPr>
          <w:rFonts w:hint="eastAsia" w:ascii="仿宋_GB2312" w:eastAsia="仿宋_GB2312"/>
          <w:color w:val="auto"/>
          <w:sz w:val="32"/>
          <w:szCs w:val="32"/>
          <w:highlight w:val="none"/>
          <w:shd w:val="clear" w:color="auto" w:fill="FFFFFF"/>
          <w:lang w:val="en-US" w:eastAsia="zh-CN"/>
        </w:rPr>
        <w:t>778.62</w:t>
      </w:r>
      <w:r>
        <w:rPr>
          <w:rFonts w:ascii="仿宋_GB2312" w:eastAsia="仿宋_GB2312"/>
          <w:color w:val="auto"/>
          <w:sz w:val="32"/>
          <w:szCs w:val="32"/>
          <w:shd w:val="clear" w:color="auto" w:fill="FFFFFF"/>
        </w:rPr>
        <w:t>万元，预算支出</w:t>
      </w:r>
      <w:r>
        <w:rPr>
          <w:rFonts w:hint="eastAsia" w:ascii="仿宋_GB2312" w:eastAsia="仿宋_GB2312"/>
          <w:color w:val="auto"/>
          <w:sz w:val="32"/>
          <w:szCs w:val="32"/>
          <w:highlight w:val="none"/>
          <w:shd w:val="clear" w:color="auto" w:fill="FFFFFF"/>
          <w:lang w:val="en-US" w:eastAsia="zh-CN"/>
        </w:rPr>
        <w:t>762.08</w:t>
      </w:r>
      <w:r>
        <w:rPr>
          <w:rFonts w:ascii="仿宋_GB2312" w:eastAsia="仿宋_GB2312"/>
          <w:color w:val="auto"/>
          <w:sz w:val="32"/>
          <w:szCs w:val="32"/>
          <w:highlight w:val="none"/>
          <w:shd w:val="clear" w:color="auto" w:fill="FFFFFF"/>
        </w:rPr>
        <w:t>万元，预算执行率</w:t>
      </w:r>
      <w:r>
        <w:rPr>
          <w:rFonts w:hint="eastAsia" w:ascii="仿宋_GB2312" w:eastAsia="仿宋_GB2312"/>
          <w:color w:val="auto"/>
          <w:sz w:val="32"/>
          <w:szCs w:val="32"/>
          <w:highlight w:val="none"/>
          <w:shd w:val="clear" w:color="auto" w:fill="FFFFFF"/>
          <w:lang w:val="en-US" w:eastAsia="zh-CN"/>
        </w:rPr>
        <w:t>97.88</w:t>
      </w:r>
      <w:r>
        <w:rPr>
          <w:rFonts w:ascii="仿宋_GB2312" w:eastAsia="仿宋_GB2312"/>
          <w:color w:val="auto"/>
          <w:sz w:val="32"/>
          <w:szCs w:val="32"/>
          <w:highlight w:val="none"/>
          <w:shd w:val="clear" w:color="auto" w:fill="FFFFFF"/>
        </w:rPr>
        <w:t>%。项目部门整体预算</w:t>
      </w:r>
      <w:r>
        <w:rPr>
          <w:rFonts w:hint="eastAsia" w:ascii="仿宋_GB2312" w:eastAsia="仿宋_GB2312"/>
          <w:color w:val="auto"/>
          <w:sz w:val="32"/>
          <w:szCs w:val="32"/>
          <w:highlight w:val="none"/>
          <w:shd w:val="clear" w:color="auto" w:fill="FFFFFF"/>
          <w:lang w:val="en-US" w:eastAsia="zh-CN"/>
        </w:rPr>
        <w:t>6695.82</w:t>
      </w:r>
      <w:r>
        <w:rPr>
          <w:rFonts w:ascii="仿宋_GB2312" w:eastAsia="仿宋_GB2312"/>
          <w:color w:val="333333"/>
          <w:sz w:val="32"/>
          <w:szCs w:val="32"/>
          <w:highlight w:val="none"/>
          <w:shd w:val="clear" w:color="auto" w:fill="FFFFFF"/>
        </w:rPr>
        <w:t>万元，整体支出</w:t>
      </w:r>
      <w:r>
        <w:rPr>
          <w:rFonts w:hint="eastAsia" w:ascii="仿宋_GB2312" w:eastAsia="仿宋_GB2312"/>
          <w:color w:val="333333"/>
          <w:sz w:val="32"/>
          <w:szCs w:val="32"/>
          <w:highlight w:val="none"/>
          <w:shd w:val="clear" w:color="auto" w:fill="FFFFFF"/>
          <w:lang w:val="en-US" w:eastAsia="zh-CN"/>
        </w:rPr>
        <w:t>6348.8</w:t>
      </w:r>
      <w:bookmarkStart w:id="0" w:name="_GoBack"/>
      <w:bookmarkEnd w:id="0"/>
      <w:r>
        <w:rPr>
          <w:rFonts w:hint="eastAsia" w:ascii="仿宋_GB2312" w:eastAsia="仿宋_GB2312"/>
          <w:color w:val="333333"/>
          <w:sz w:val="32"/>
          <w:szCs w:val="32"/>
          <w:highlight w:val="none"/>
          <w:shd w:val="clear" w:color="auto" w:fill="FFFFFF"/>
          <w:lang w:val="en-US" w:eastAsia="zh-CN"/>
        </w:rPr>
        <w:t>2</w:t>
      </w:r>
      <w:r>
        <w:rPr>
          <w:rFonts w:ascii="仿宋_GB2312" w:eastAsia="仿宋_GB2312"/>
          <w:color w:val="333333"/>
          <w:sz w:val="32"/>
          <w:szCs w:val="32"/>
          <w:highlight w:val="none"/>
          <w:shd w:val="clear" w:color="auto" w:fill="FFFFFF"/>
        </w:rPr>
        <w:t>万元，整体支出执行率</w:t>
      </w:r>
      <w:r>
        <w:rPr>
          <w:rFonts w:hint="eastAsia" w:ascii="仿宋_GB2312" w:eastAsia="仿宋_GB2312"/>
          <w:color w:val="333333"/>
          <w:sz w:val="32"/>
          <w:szCs w:val="32"/>
          <w:highlight w:val="none"/>
          <w:shd w:val="clear" w:color="auto" w:fill="FFFFFF"/>
          <w:lang w:val="en-US" w:eastAsia="zh-CN"/>
        </w:rPr>
        <w:t>94.82</w:t>
      </w:r>
      <w:r>
        <w:rPr>
          <w:rFonts w:ascii="仿宋_GB2312" w:eastAsia="仿宋_GB2312"/>
          <w:color w:val="333333"/>
          <w:sz w:val="32"/>
          <w:szCs w:val="32"/>
          <w:highlight w:val="none"/>
          <w:shd w:val="clear" w:color="auto" w:fill="FFFFFF"/>
        </w:rPr>
        <w:t>%。由于部分项目</w:t>
      </w:r>
      <w:r>
        <w:rPr>
          <w:rFonts w:ascii="仿宋_GB2312" w:eastAsia="仿宋_GB2312"/>
          <w:color w:val="333333"/>
          <w:sz w:val="32"/>
          <w:szCs w:val="32"/>
          <w:shd w:val="clear" w:color="auto" w:fill="FFFFFF"/>
        </w:rPr>
        <w:t>资金下达较晚，跨年度完成，故有部分资金在下年初支付。</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黑体" w:hAnsi="黑体" w:eastAsia="黑体" w:cs="宋体"/>
          <w:color w:val="333333"/>
          <w:kern w:val="0"/>
          <w:sz w:val="32"/>
          <w:szCs w:val="32"/>
        </w:rPr>
      </w:pPr>
      <w:r>
        <w:rPr>
          <w:rFonts w:hint="eastAsia" w:ascii="黑体" w:hAnsi="黑体" w:eastAsia="黑体" w:cs="宋体"/>
          <w:color w:val="333333"/>
          <w:kern w:val="0"/>
          <w:sz w:val="32"/>
          <w:szCs w:val="32"/>
        </w:rPr>
        <w:t>三</w:t>
      </w:r>
      <w:r>
        <w:rPr>
          <w:rFonts w:hint="eastAsia" w:ascii="黑体" w:hAnsi="黑体" w:eastAsia="黑体" w:cs="宋体"/>
          <w:color w:val="333333"/>
          <w:kern w:val="0"/>
          <w:sz w:val="32"/>
          <w:szCs w:val="32"/>
          <w:lang w:eastAsia="zh-CN"/>
        </w:rPr>
        <w:t>、</w:t>
      </w:r>
      <w:r>
        <w:rPr>
          <w:rFonts w:hint="eastAsia" w:ascii="黑体" w:hAnsi="黑体" w:eastAsia="黑体" w:cs="宋体"/>
          <w:color w:val="333333"/>
          <w:kern w:val="0"/>
          <w:sz w:val="32"/>
          <w:szCs w:val="32"/>
        </w:rPr>
        <w:t>绩效自评应用和公开情况。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eastAsia="仿宋_GB2312"/>
          <w:color w:val="333333"/>
          <w:sz w:val="32"/>
          <w:szCs w:val="32"/>
          <w:shd w:val="clear" w:color="auto" w:fill="FFFFFF"/>
        </w:rPr>
      </w:pPr>
      <w:r>
        <w:rPr>
          <w:rFonts w:ascii="仿宋_GB2312" w:eastAsia="仿宋_GB2312"/>
          <w:color w:val="333333"/>
          <w:sz w:val="32"/>
          <w:szCs w:val="32"/>
          <w:shd w:val="clear" w:color="auto" w:fill="FFFFFF"/>
        </w:rPr>
        <w:t>2022年度项目绩效评价在项目实施之初就已经开始，有效合理的进行了项目资金的分配管理和目标绩效的监督。在项目实施过程中，按照绩效目标进行考核，即要保证项目的质量，又要确保项目在完成后各项绩效目标的实施兑现。镇项目单位实时跟踪，按照既定绩效目标，进行项目成果应用，让此项目发挥效果，绩效目标全程公开公示，使项目主体绩效实时得到控制监督，让本项目财政资金发挥最大的使用效益。</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ascii="微软雅黑" w:hAnsi="微软雅黑" w:eastAsia="微软雅黑"/>
          <w:color w:val="333333"/>
        </w:rPr>
      </w:pPr>
      <w:r>
        <w:rPr>
          <w:rFonts w:hint="eastAsia" w:ascii="黑体" w:hAnsi="黑体" w:eastAsia="黑体"/>
          <w:color w:val="333333"/>
          <w:sz w:val="32"/>
          <w:szCs w:val="32"/>
        </w:rPr>
        <w:t>四</w:t>
      </w:r>
      <w:r>
        <w:rPr>
          <w:rFonts w:hint="eastAsia" w:ascii="黑体" w:hAnsi="黑体" w:eastAsia="黑体"/>
          <w:color w:val="333333"/>
          <w:sz w:val="32"/>
          <w:szCs w:val="32"/>
          <w:lang w:eastAsia="zh-CN"/>
        </w:rPr>
        <w:t>、</w:t>
      </w:r>
      <w:r>
        <w:rPr>
          <w:rFonts w:hint="eastAsia" w:ascii="黑体" w:hAnsi="黑体" w:eastAsia="黑体"/>
          <w:color w:val="333333"/>
          <w:sz w:val="32"/>
          <w:szCs w:val="32"/>
        </w:rPr>
        <w:t>20</w:t>
      </w:r>
      <w:r>
        <w:rPr>
          <w:rFonts w:ascii="黑体" w:hAnsi="黑体" w:eastAsia="黑体"/>
          <w:color w:val="333333"/>
          <w:sz w:val="32"/>
          <w:szCs w:val="32"/>
        </w:rPr>
        <w:t>22</w:t>
      </w:r>
      <w:r>
        <w:rPr>
          <w:rFonts w:hint="eastAsia" w:ascii="黑体" w:hAnsi="黑体" w:eastAsia="黑体"/>
          <w:color w:val="333333"/>
          <w:sz w:val="32"/>
          <w:szCs w:val="32"/>
        </w:rPr>
        <w:t>年度预算绩效管理存在的问题及原因分析</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ascii="微软雅黑" w:hAnsi="微软雅黑" w:eastAsia="微软雅黑"/>
          <w:color w:val="333333"/>
        </w:rPr>
      </w:pPr>
      <w:r>
        <w:rPr>
          <w:rFonts w:hint="eastAsia" w:ascii="仿宋_GB2312" w:hAnsi="微软雅黑" w:eastAsia="仿宋_GB2312"/>
          <w:color w:val="333333"/>
          <w:sz w:val="32"/>
          <w:szCs w:val="32"/>
        </w:rPr>
        <w:t>1</w:t>
      </w:r>
      <w:r>
        <w:rPr>
          <w:rFonts w:hint="eastAsia" w:ascii="仿宋_GB2312" w:hAnsi="微软雅黑" w:eastAsia="仿宋_GB2312"/>
          <w:color w:val="333333"/>
          <w:sz w:val="32"/>
          <w:szCs w:val="32"/>
          <w:lang w:eastAsia="zh-CN"/>
        </w:rPr>
        <w:t>、</w:t>
      </w:r>
      <w:r>
        <w:rPr>
          <w:rFonts w:hint="eastAsia" w:ascii="仿宋_GB2312" w:hAnsi="微软雅黑" w:eastAsia="仿宋_GB2312"/>
          <w:color w:val="333333"/>
          <w:sz w:val="32"/>
          <w:szCs w:val="32"/>
        </w:rPr>
        <w:t>缺理念。就是预算绩效管理的理念还未深入人心。虽然近年来各级都在反复强调预算绩效的问题，但在底层落实难度还比较大，有的人认为预算绩效管理是财务人员的事、与业务部门关系不大。</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ascii="微软雅黑" w:hAnsi="微软雅黑" w:eastAsia="微软雅黑"/>
          <w:color w:val="333333"/>
        </w:rPr>
      </w:pPr>
      <w:r>
        <w:rPr>
          <w:rFonts w:hint="eastAsia" w:ascii="仿宋_GB2312" w:hAnsi="微软雅黑" w:eastAsia="仿宋_GB2312"/>
          <w:color w:val="333333"/>
          <w:sz w:val="32"/>
          <w:szCs w:val="32"/>
        </w:rPr>
        <w:t>2</w:t>
      </w:r>
      <w:r>
        <w:rPr>
          <w:rFonts w:hint="eastAsia" w:ascii="仿宋_GB2312" w:hAnsi="微软雅黑" w:eastAsia="仿宋_GB2312"/>
          <w:color w:val="333333"/>
          <w:sz w:val="32"/>
          <w:szCs w:val="32"/>
          <w:lang w:eastAsia="zh-CN"/>
        </w:rPr>
        <w:t>、</w:t>
      </w:r>
      <w:r>
        <w:rPr>
          <w:rFonts w:hint="eastAsia" w:ascii="仿宋_GB2312" w:hAnsi="微软雅黑" w:eastAsia="仿宋_GB2312"/>
          <w:color w:val="333333"/>
          <w:sz w:val="32"/>
          <w:szCs w:val="32"/>
        </w:rPr>
        <w:t>缺人才。由于单位人员缺少预算绩效管理的人才，加上经费紧张，绩效评估专业性较强，需要专业的人才来做。因单位人员缺乏对绩效评价专业素养，如对绩效评价指标分析时存在摸着石头过河的现象，分析不准、研究不透，导致部门、整体及项目绩效评估质量不高。</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ascii="微软雅黑" w:hAnsi="微软雅黑" w:eastAsia="微软雅黑"/>
          <w:color w:val="333333"/>
        </w:rPr>
      </w:pPr>
      <w:r>
        <w:rPr>
          <w:rFonts w:hint="eastAsia" w:ascii="仿宋_GB2312" w:hAnsi="微软雅黑" w:eastAsia="仿宋_GB2312"/>
          <w:color w:val="333333"/>
          <w:sz w:val="32"/>
          <w:szCs w:val="32"/>
        </w:rPr>
        <w:t>3</w:t>
      </w:r>
      <w:r>
        <w:rPr>
          <w:rFonts w:hint="eastAsia" w:ascii="仿宋_GB2312" w:hAnsi="微软雅黑" w:eastAsia="仿宋_GB2312"/>
          <w:color w:val="333333"/>
          <w:sz w:val="32"/>
          <w:szCs w:val="32"/>
          <w:lang w:eastAsia="zh-CN"/>
        </w:rPr>
        <w:t>、</w:t>
      </w:r>
      <w:r>
        <w:rPr>
          <w:rFonts w:hint="eastAsia" w:ascii="仿宋_GB2312" w:hAnsi="微软雅黑" w:eastAsia="仿宋_GB2312"/>
          <w:color w:val="333333"/>
          <w:sz w:val="32"/>
          <w:szCs w:val="32"/>
        </w:rPr>
        <w:t>缺规范。目前绩效评估呈现百家争鸣、百花齐放的趋势，各部门都有不一样的版式、不一样的风格，在绩效评估的质量效果有待于探讨。</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ascii="仿宋_GB2312" w:hAnsi="微软雅黑" w:eastAsia="仿宋_GB2312"/>
          <w:color w:val="333333"/>
          <w:sz w:val="32"/>
          <w:szCs w:val="32"/>
        </w:rPr>
      </w:pPr>
      <w:r>
        <w:rPr>
          <w:rFonts w:hint="eastAsia" w:ascii="仿宋_GB2312" w:hAnsi="微软雅黑" w:eastAsia="仿宋_GB2312"/>
          <w:color w:val="333333"/>
          <w:sz w:val="32"/>
          <w:szCs w:val="32"/>
        </w:rPr>
        <w:t>存在这些问题的原因：一是思想观念还不能与时俱进；二是在具体操作上存在列畏难情绪；三是激励奖惩措施还未真正到位。四是缺乏一支高素质的人才队伍。</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inherit" w:hAnsi="inherit"/>
        </w:rPr>
      </w:pPr>
      <w:r>
        <w:rPr>
          <w:rFonts w:hint="eastAsia" w:ascii="黑体" w:hAnsi="黑体" w:eastAsia="黑体"/>
          <w:sz w:val="32"/>
          <w:szCs w:val="32"/>
        </w:rPr>
        <w:t>五、下一步工作思路及建议</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inherit" w:hAnsi="inherit"/>
        </w:rPr>
      </w:pPr>
      <w:r>
        <w:rPr>
          <w:rFonts w:hint="eastAsia" w:ascii="仿宋_GB2312" w:hAnsi="inherit" w:eastAsia="仿宋_GB2312"/>
          <w:sz w:val="32"/>
          <w:szCs w:val="32"/>
        </w:rPr>
        <w:t>(一)抓好文件精神的学习宣传。利用干部职工大会、党委会，反复学习市县文件精神，深刻理解掌握实施绩效预算管理重大的政治、经济和社会意义及实施预算绩效管理的指导思想、总体目标及基本原则，让开展预算绩效管理在干部脑海里打下深深烙印。</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inherit" w:hAnsi="inherit"/>
        </w:rPr>
      </w:pPr>
      <w:r>
        <w:rPr>
          <w:rFonts w:hint="eastAsia" w:ascii="仿宋_GB2312" w:hAnsi="inherit" w:eastAsia="仿宋_GB2312"/>
          <w:sz w:val="32"/>
          <w:szCs w:val="32"/>
        </w:rPr>
        <w:t>(二)培养一批开展绩效管理的明的人。采取请进来与走出去的方式，交任务、压担子，打磨一批单位开展绩效管理的明的人。定期组织召开绩效管理领导小组会议，查找单位在绩效管理存在的短板与不足，制定有针对性整改措施。</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_GB2312" w:hAnsi="inherit" w:eastAsia="仿宋_GB2312"/>
          <w:sz w:val="32"/>
          <w:szCs w:val="32"/>
        </w:rPr>
      </w:pPr>
      <w:r>
        <w:rPr>
          <w:rFonts w:hint="eastAsia" w:ascii="仿宋_GB2312" w:hAnsi="inherit" w:eastAsia="仿宋_GB2312"/>
          <w:sz w:val="32"/>
          <w:szCs w:val="32"/>
        </w:rPr>
        <w:t>(三)推开项目支出绩效评价结果公开力度。加强沟通协调，逐步推开预算绩效评价结果公开力度，通过门户网络、电视、广播站等媒体向社会公开评价的结果，以提高财政资金使用的公开性和透明性，接受社会和公众的指导和监督。</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_GB2312" w:hAnsi="inherit"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42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 xml:space="preserve"> </w:t>
      </w:r>
      <w:r>
        <w:rPr>
          <w:rFonts w:ascii="仿宋_GB2312" w:eastAsia="仿宋_GB2312"/>
          <w:color w:val="333333"/>
          <w:sz w:val="32"/>
          <w:szCs w:val="32"/>
          <w:shd w:val="clear" w:color="auto" w:fill="FFFFFF"/>
        </w:rPr>
        <w:t xml:space="preserve">               </w:t>
      </w:r>
      <w:r>
        <w:rPr>
          <w:rFonts w:hint="eastAsia" w:ascii="仿宋_GB2312" w:eastAsia="仿宋_GB2312"/>
          <w:color w:val="333333"/>
          <w:sz w:val="32"/>
          <w:szCs w:val="32"/>
          <w:shd w:val="clear" w:color="auto" w:fill="FFFFFF"/>
        </w:rPr>
        <w:t xml:space="preserve"> </w:t>
      </w:r>
      <w:r>
        <w:rPr>
          <w:rFonts w:ascii="仿宋_GB2312" w:eastAsia="仿宋_GB2312"/>
          <w:color w:val="333333"/>
          <w:sz w:val="32"/>
          <w:szCs w:val="32"/>
          <w:shd w:val="clear" w:color="auto" w:fill="FFFFFF"/>
        </w:rPr>
        <w:t xml:space="preserve">         寿县</w:t>
      </w:r>
      <w:r>
        <w:rPr>
          <w:rFonts w:hint="eastAsia" w:ascii="仿宋_GB2312" w:eastAsia="仿宋_GB2312"/>
          <w:color w:val="333333"/>
          <w:sz w:val="32"/>
          <w:szCs w:val="32"/>
          <w:shd w:val="clear" w:color="auto" w:fill="FFFFFF"/>
          <w:lang w:eastAsia="zh-CN"/>
        </w:rPr>
        <w:t>安丰塘镇</w:t>
      </w:r>
      <w:r>
        <w:rPr>
          <w:rFonts w:ascii="仿宋_GB2312" w:eastAsia="仿宋_GB2312"/>
          <w:color w:val="333333"/>
          <w:sz w:val="32"/>
          <w:szCs w:val="32"/>
          <w:shd w:val="clear" w:color="auto" w:fill="FFFFFF"/>
        </w:rPr>
        <w:t>人民政府</w:t>
      </w:r>
    </w:p>
    <w:p>
      <w:pPr>
        <w:keepNext w:val="0"/>
        <w:keepLines w:val="0"/>
        <w:pageBreakBefore w:val="0"/>
        <w:kinsoku/>
        <w:wordWrap/>
        <w:overflowPunct/>
        <w:topLinePunct w:val="0"/>
        <w:autoSpaceDE/>
        <w:autoSpaceDN/>
        <w:bidi w:val="0"/>
        <w:adjustRightInd/>
        <w:snapToGrid/>
        <w:spacing w:line="560" w:lineRule="exact"/>
        <w:ind w:firstLine="5120" w:firstLineChars="1600"/>
      </w:pPr>
      <w:r>
        <w:rPr>
          <w:rFonts w:hint="eastAsia" w:ascii="仿宋_GB2312" w:eastAsia="仿宋_GB2312"/>
          <w:color w:val="333333"/>
          <w:sz w:val="32"/>
          <w:szCs w:val="32"/>
          <w:shd w:val="clear" w:color="auto" w:fill="FFFFFF"/>
        </w:rPr>
        <w:t>2</w:t>
      </w:r>
      <w:r>
        <w:rPr>
          <w:rFonts w:ascii="仿宋_GB2312" w:eastAsia="仿宋_GB2312"/>
          <w:color w:val="333333"/>
          <w:sz w:val="32"/>
          <w:szCs w:val="32"/>
          <w:shd w:val="clear" w:color="auto" w:fill="FFFFFF"/>
        </w:rPr>
        <w:t>02</w:t>
      </w:r>
      <w:r>
        <w:rPr>
          <w:rFonts w:hint="eastAsia" w:ascii="仿宋_GB2312" w:eastAsia="仿宋_GB2312"/>
          <w:color w:val="333333"/>
          <w:sz w:val="32"/>
          <w:szCs w:val="32"/>
          <w:shd w:val="clear" w:color="auto" w:fill="FFFFFF"/>
          <w:lang w:val="en-US" w:eastAsia="zh-CN"/>
        </w:rPr>
        <w:t>3</w:t>
      </w:r>
      <w:r>
        <w:rPr>
          <w:rFonts w:ascii="仿宋_GB2312" w:eastAsia="仿宋_GB2312"/>
          <w:color w:val="333333"/>
          <w:sz w:val="32"/>
          <w:szCs w:val="32"/>
          <w:shd w:val="clear" w:color="auto" w:fill="FFFFFF"/>
        </w:rPr>
        <w:t>年</w:t>
      </w:r>
      <w:r>
        <w:rPr>
          <w:rFonts w:hint="eastAsia" w:ascii="仿宋_GB2312" w:eastAsia="仿宋_GB2312"/>
          <w:color w:val="333333"/>
          <w:sz w:val="32"/>
          <w:szCs w:val="32"/>
          <w:shd w:val="clear" w:color="auto" w:fill="FFFFFF"/>
          <w:lang w:val="en-US" w:eastAsia="zh-CN"/>
        </w:rPr>
        <w:t>1</w:t>
      </w:r>
      <w:r>
        <w:rPr>
          <w:rFonts w:ascii="仿宋_GB2312" w:eastAsia="仿宋_GB2312"/>
          <w:color w:val="333333"/>
          <w:sz w:val="32"/>
          <w:szCs w:val="32"/>
          <w:shd w:val="clear" w:color="auto" w:fill="FFFFFF"/>
        </w:rPr>
        <w:t>月</w:t>
      </w:r>
      <w:r>
        <w:rPr>
          <w:rFonts w:hint="eastAsia" w:ascii="仿宋_GB2312" w:eastAsia="仿宋_GB2312"/>
          <w:color w:val="333333"/>
          <w:sz w:val="32"/>
          <w:szCs w:val="32"/>
          <w:shd w:val="clear" w:color="auto" w:fill="FFFFFF"/>
          <w:lang w:val="en-US" w:eastAsia="zh-CN"/>
        </w:rPr>
        <w:t>1</w:t>
      </w:r>
      <w:r>
        <w:rPr>
          <w:rFonts w:ascii="仿宋_GB2312" w:eastAsia="仿宋_GB2312"/>
          <w:color w:val="333333"/>
          <w:sz w:val="32"/>
          <w:szCs w:val="32"/>
          <w:shd w:val="clear" w:color="auto" w:fill="FFFFFF"/>
        </w:rPr>
        <w:t>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roma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inherit">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yYzBlYjJiZGFkN2I4MDQyMzEyYzY2YWIwYzA3ZTkifQ=="/>
    <w:docVar w:name="KSO_WPS_MARK_KEY" w:val="2d27cefc-680b-49f3-85ef-0a742d8c006d"/>
  </w:docVars>
  <w:rsids>
    <w:rsidRoot w:val="00EF0B3C"/>
    <w:rsid w:val="00322DB0"/>
    <w:rsid w:val="004D26AD"/>
    <w:rsid w:val="004E688D"/>
    <w:rsid w:val="007B1E34"/>
    <w:rsid w:val="00853208"/>
    <w:rsid w:val="00AF799B"/>
    <w:rsid w:val="00B65776"/>
    <w:rsid w:val="00C22872"/>
    <w:rsid w:val="00DA7137"/>
    <w:rsid w:val="00ED10FD"/>
    <w:rsid w:val="00EF0B3C"/>
    <w:rsid w:val="00F172A6"/>
    <w:rsid w:val="00F42EBC"/>
    <w:rsid w:val="54B24092"/>
    <w:rsid w:val="615D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List Paragraph"/>
    <w:basedOn w:val="1"/>
    <w:qFormat/>
    <w:uiPriority w:val="34"/>
    <w:pPr>
      <w:ind w:firstLine="420" w:firstLineChars="200"/>
    </w:p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标题 2 Char"/>
    <w:basedOn w:val="8"/>
    <w:link w:val="2"/>
    <w:qFormat/>
    <w:uiPriority w:val="9"/>
    <w:rPr>
      <w:rFonts w:asciiTheme="majorHAnsi" w:hAnsiTheme="majorHAnsi" w:eastAsiaTheme="majorEastAsia" w:cstheme="majorBidi"/>
      <w:b/>
      <w:bCs/>
      <w:sz w:val="32"/>
      <w:szCs w:val="32"/>
    </w:rPr>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1436</Words>
  <Characters>1485</Characters>
  <Lines>10</Lines>
  <Paragraphs>3</Paragraphs>
  <TotalTime>290</TotalTime>
  <ScaleCrop>false</ScaleCrop>
  <LinksUpToDate>false</LinksUpToDate>
  <CharactersWithSpaces>1514</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2022-12-29T00:44:00Z</dcterms:created>
  <dc:creator>admin</dc:creator>
  <cp:lastModifiedBy>WPS_1589940231</cp:lastModifiedBy>
  <cp:lastPrinted>2023-01-03T01:16:00Z</cp:lastPrinted>
  <dcterms:modified xsi:type="dcterms:W3CDTF">2023-01-11T01:42:04Z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7130C2AC025E4B3E941986EB406F571E</vt:lpwstr>
  </property>
</Properties>
</file>