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pPr>
        <w:spacing w:line="600" w:lineRule="exact"/>
        <w:jc w:val="center"/>
        <w:rPr>
          <w:rFonts w:ascii="黑体" w:eastAsia="黑体" w:hAnsi="黑体" w:cs="黑体" w:hint="eastAsia"/>
          <w:sz w:val="36"/>
          <w:szCs w:val="36"/>
        </w:rPr>
      </w:pPr>
      <w:r>
        <w:rPr>
          <w:rFonts w:ascii="黑体" w:eastAsia="黑体" w:hAnsi="黑体" w:cs="黑体" w:hint="eastAsia"/>
          <w:sz w:val="36"/>
          <w:szCs w:val="36"/>
          <w:lang w:val="en-US" w:eastAsia="zh-CN"/>
        </w:rPr>
        <w:t>2023年</w:t>
      </w:r>
      <w:r>
        <w:rPr>
          <w:rFonts w:ascii="黑体" w:eastAsia="黑体" w:hAnsi="黑体" w:cs="黑体" w:hint="eastAsia"/>
          <w:sz w:val="36"/>
          <w:szCs w:val="36"/>
        </w:rPr>
        <w:t>寿县公安局</w:t>
      </w:r>
      <w:r>
        <w:rPr>
          <w:rFonts w:ascii="黑体" w:eastAsia="黑体" w:hAnsi="黑体" w:cs="黑体" w:hint="eastAsia"/>
          <w:sz w:val="36"/>
          <w:szCs w:val="36"/>
          <w:lang w:val="en-US" w:eastAsia="zh-CN"/>
        </w:rPr>
        <w:t>拨付交管大队办公费用</w:t>
      </w:r>
      <w:r>
        <w:rPr>
          <w:rFonts w:ascii="黑体" w:eastAsia="黑体" w:hAnsi="黑体" w:cs="黑体" w:hint="eastAsia"/>
          <w:sz w:val="36"/>
          <w:szCs w:val="36"/>
        </w:rPr>
        <w:t>绩效自评报告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rPr>
      </w:pPr>
      <w:r>
        <w:rPr>
          <w:rFonts w:ascii="仿宋" w:eastAsia="仿宋" w:hAnsi="仿宋" w:cs="仿宋" w:hint="eastAsia"/>
          <w:sz w:val="32"/>
          <w:szCs w:val="32"/>
        </w:rPr>
        <w:t>为强化财政支出绩效管理，促进财政资金使用的科学化、合理化和精细化，根据《寿县财政局关于印发&lt;寿县县级项目支出绩效单位自评操作规程&gt;的通知》（寿财绩〔2021〕41号）文件精神，现对202</w:t>
      </w:r>
      <w:r>
        <w:rPr>
          <w:rFonts w:ascii="仿宋" w:eastAsia="仿宋" w:hAnsi="仿宋" w:cs="仿宋" w:hint="eastAsia"/>
          <w:sz w:val="32"/>
          <w:szCs w:val="32"/>
          <w:lang w:eastAsia="zh-CN"/>
        </w:rPr>
        <w:t>3</w:t>
      </w:r>
      <w:r>
        <w:rPr>
          <w:rFonts w:ascii="仿宋" w:eastAsia="仿宋" w:hAnsi="仿宋" w:cs="仿宋" w:hint="eastAsia"/>
          <w:sz w:val="32"/>
          <w:szCs w:val="32"/>
        </w:rPr>
        <w:t>年寿县公安</w:t>
      </w:r>
      <w:r>
        <w:rPr>
          <w:rFonts w:ascii="仿宋" w:eastAsia="仿宋" w:hAnsi="仿宋" w:cs="仿宋" w:hint="eastAsia"/>
          <w:sz w:val="32"/>
          <w:szCs w:val="32"/>
          <w:lang w:eastAsia="zh-CN"/>
        </w:rPr>
        <w:t>局拨付交管大队办公费用</w:t>
      </w:r>
      <w:r>
        <w:rPr>
          <w:rFonts w:ascii="仿宋" w:eastAsia="仿宋" w:hAnsi="仿宋" w:cs="仿宋" w:hint="eastAsia"/>
          <w:sz w:val="32"/>
          <w:szCs w:val="32"/>
        </w:rPr>
        <w:t>项目进行绩效自评，现将有关情况报告如下：</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（一）项目概况</w:t>
      </w:r>
    </w:p>
    <w:p>
      <w:pPr>
        <w:spacing w:line="600" w:lineRule="exact"/>
        <w:ind w:firstLine="640" w:firstLineChars="200"/>
        <w:rPr>
          <w:rFonts w:ascii="仿宋" w:eastAsia="仿宋" w:hAnsi="仿宋" w:cs="仿宋" w:hint="eastAsia"/>
          <w:sz w:val="32"/>
          <w:szCs w:val="32"/>
        </w:rPr>
      </w:pPr>
      <w:r>
        <w:rPr>
          <w:rFonts w:ascii="仿宋" w:eastAsia="仿宋" w:hAnsi="仿宋" w:cs="仿宋" w:hint="eastAsia"/>
          <w:b w:val="0"/>
          <w:bCs/>
          <w:sz w:val="32"/>
          <w:szCs w:val="32"/>
          <w:lang w:eastAsia="zh-CN"/>
        </w:rPr>
        <w:t>通过资金的使用，能够做到遏制较大道路交通事故，杜绝重大事故，事故起数和死亡人数下降，增强人民群众文明交通意识、交通管理服务水平、促使交警队伍素质提升，</w:t>
      </w:r>
      <w:r>
        <w:rPr>
          <w:rFonts w:ascii="仿宋_GB2312" w:eastAsia="仿宋_GB2312" w:hAnsi="仿宋_GB2312" w:cs="仿宋_GB2312" w:hint="eastAsia"/>
          <w:b w:val="0"/>
          <w:i w:val="0"/>
          <w:caps w:val="0"/>
          <w:color w:val="auto"/>
          <w:spacing w:val="0"/>
          <w:sz w:val="32"/>
          <w:szCs w:val="32"/>
          <w:shd w:val="clear" w:color="auto" w:fill="FFFFFF"/>
        </w:rPr>
        <w:t>主要职责是全县车辆及驾驶人管理、交通秩序管理、交通违法行为查处、道路交通事故预防与处理、交通安全宣传、交通科技设施管理和维护等工作任务</w:t>
      </w:r>
      <w:r>
        <w:rPr>
          <w:rFonts w:ascii="仿宋" w:eastAsia="仿宋" w:hAnsi="仿宋" w:cs="仿宋" w:hint="eastAsia"/>
          <w:b w:val="0"/>
          <w:bCs/>
          <w:sz w:val="32"/>
          <w:szCs w:val="32"/>
          <w:lang w:eastAsia="zh-CN"/>
        </w:rPr>
        <w:t>。</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eastAsia="zh-CN"/>
        </w:rPr>
      </w:pPr>
      <w:r>
        <w:rPr>
          <w:rFonts w:ascii="仿宋" w:eastAsia="仿宋" w:hAnsi="仿宋" w:cs="仿宋" w:hint="eastAsia"/>
          <w:b w:val="0"/>
          <w:bCs w:val="0"/>
          <w:sz w:val="32"/>
          <w:szCs w:val="32"/>
          <w:lang w:val="en-US" w:eastAsia="zh-CN"/>
        </w:rPr>
        <w:t>2023年</w:t>
      </w:r>
      <w:r>
        <w:rPr>
          <w:rFonts w:ascii="仿宋" w:eastAsia="仿宋" w:hAnsi="仿宋" w:cs="仿宋" w:hint="eastAsia"/>
          <w:sz w:val="32"/>
          <w:szCs w:val="32"/>
          <w:lang w:eastAsia="zh-CN"/>
        </w:rPr>
        <w:t>拨付交管大队办公费用资</w:t>
      </w:r>
      <w:r>
        <w:rPr>
          <w:rFonts w:ascii="仿宋" w:eastAsia="仿宋" w:hAnsi="仿宋" w:cs="仿宋" w:hint="eastAsia"/>
          <w:sz w:val="32"/>
          <w:szCs w:val="32"/>
          <w:lang w:val="en-US" w:eastAsia="zh-CN"/>
        </w:rPr>
        <w:t>金主要用于办公费等方</w:t>
      </w:r>
      <w:r>
        <w:rPr>
          <w:rFonts w:ascii="仿宋" w:eastAsia="仿宋" w:hAnsi="仿宋" w:cs="仿宋" w:hint="eastAsia"/>
          <w:b w:val="0"/>
          <w:bCs w:val="0"/>
          <w:sz w:val="32"/>
          <w:szCs w:val="32"/>
          <w:lang w:val="en-US" w:eastAsia="zh-CN"/>
        </w:rPr>
        <w:t>面</w:t>
      </w:r>
      <w:r>
        <w:rPr>
          <w:rFonts w:ascii="仿宋" w:eastAsia="仿宋" w:hAnsi="仿宋" w:cs="仿宋" w:hint="eastAsia"/>
          <w:i w:val="0"/>
          <w:iCs w:val="0"/>
          <w:caps w:val="0"/>
          <w:color w:val="333333"/>
          <w:spacing w:val="0"/>
          <w:sz w:val="32"/>
          <w:szCs w:val="32"/>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eastAsia="仿宋" w:hAnsi="仿宋" w:cs="仿宋" w:hint="eastAsia"/>
          <w:sz w:val="32"/>
          <w:szCs w:val="32"/>
          <w:lang w:val="en-US" w:eastAsia="zh-CN"/>
        </w:rPr>
      </w:pPr>
      <w:r>
        <w:rPr>
          <w:rFonts w:ascii="仿宋" w:eastAsia="仿宋" w:hAnsi="仿宋" w:cs="仿宋" w:hint="eastAsia"/>
          <w:b/>
          <w:bCs/>
          <w:i w:val="0"/>
          <w:iCs w:val="0"/>
          <w:caps w:val="0"/>
          <w:color w:val="333333"/>
          <w:spacing w:val="0"/>
          <w:sz w:val="32"/>
          <w:szCs w:val="32"/>
          <w:shd w:val="clear" w:color="auto" w:fill="FFFFFF"/>
          <w:lang w:eastAsia="zh-CN"/>
        </w:rPr>
        <w:t>（二）</w:t>
      </w:r>
      <w:r>
        <w:rPr>
          <w:rFonts w:ascii="仿宋" w:eastAsia="仿宋" w:hAnsi="仿宋" w:cs="仿宋" w:hint="eastAsia"/>
          <w:b/>
          <w:bCs/>
          <w:i w:val="0"/>
          <w:iCs w:val="0"/>
          <w:caps w:val="0"/>
          <w:color w:val="333333"/>
          <w:spacing w:val="0"/>
          <w:sz w:val="32"/>
          <w:szCs w:val="32"/>
          <w:shd w:val="clear" w:color="auto" w:fill="FFFFFF"/>
          <w:lang w:val="en-US" w:eastAsia="zh-CN"/>
        </w:rPr>
        <w:t>2023年度拨付交管大队办公费用工作计划</w:t>
      </w:r>
    </w:p>
    <w:p>
      <w:pPr>
        <w:spacing w:line="600" w:lineRule="exact"/>
        <w:ind w:firstLine="640" w:firstLineChars="200"/>
        <w:rPr>
          <w:rFonts w:ascii="仿宋" w:eastAsia="仿宋" w:hAnsi="仿宋" w:cs="仿宋" w:hint="eastAsia"/>
          <w:i w:val="0"/>
          <w:iCs w:val="0"/>
          <w:caps w:val="0"/>
          <w:color w:val="333333"/>
          <w:spacing w:val="0"/>
          <w:sz w:val="32"/>
          <w:szCs w:val="32"/>
          <w:shd w:val="clear" w:color="auto" w:fill="FFFFFF"/>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严格执行国家和地方关于办公支出管理的法律法规，确保办公支出合规合法，优化办公资源配置，提高办公效率，建立健全办公支出管理制度，规范支出行为，加强监督检查，确保办公支出合规合法，严格控制办公支出，确保资金使用合理、高效。</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bCs/>
          <w:sz w:val="32"/>
          <w:szCs w:val="32"/>
          <w:lang w:val="en-US" w:eastAsia="zh-CN"/>
        </w:rPr>
        <w:t>二、拨付交管大队办公费用预算执行和管理情况</w:t>
      </w:r>
    </w:p>
    <w:p>
      <w:pPr>
        <w:spacing w:line="600" w:lineRule="exact"/>
        <w:ind w:firstLine="640" w:firstLineChars="200"/>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lang w:val="en-US" w:eastAsia="zh-CN"/>
        </w:rPr>
        <w:t>拨付交管大队办公费用年初预算为289.3万元，截止到2023年11月30日，公安拨付交管大队办公费用支付资金预算已拨付281.44万元，主要用于</w:t>
      </w:r>
      <w:r>
        <w:rPr>
          <w:rFonts w:ascii="仿宋" w:eastAsia="仿宋" w:hAnsi="仿宋" w:cs="仿宋" w:hint="eastAsia"/>
          <w:i w:val="0"/>
          <w:iCs w:val="0"/>
          <w:caps w:val="0"/>
          <w:color w:val="333333"/>
          <w:spacing w:val="0"/>
          <w:sz w:val="32"/>
          <w:szCs w:val="32"/>
          <w:shd w:val="clear" w:color="auto" w:fill="FFFFFF"/>
          <w:lang w:eastAsia="zh-CN"/>
        </w:rPr>
        <w:t>住房公积金等用途。项目所有开支按照国家财经法规和县局相关财务制度执行，资金的使用全部实行专款专用，严格把关，整个项目的运行完全按照县局管理制度、县委、县政府及财政的有关规定执行，不存在违规违法的问题。各个项目资金使用与具体项目实施内容相符，绩效总目标已按照计划完成，未逾期。</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rPr>
          <w:rFonts w:ascii="仿宋" w:eastAsia="仿宋" w:hAnsi="仿宋" w:cs="仿宋" w:hint="eastAsia"/>
          <w:b/>
          <w:bCs/>
          <w:color w:val="000000" w:themeColor="text1"/>
          <w:sz w:val="32"/>
          <w:szCs w:val="32"/>
          <w14:textFill>
            <w14:solidFill>
              <w14:schemeClr w14:val="tx1"/>
            </w14:solidFill>
          </w14:textFill>
        </w:rPr>
      </w:pPr>
      <w:r>
        <w:rPr>
          <w:rFonts w:ascii="仿宋" w:eastAsia="仿宋" w:hAnsi="仿宋" w:cs="仿宋" w:hint="eastAsia"/>
          <w:b/>
          <w:bCs/>
          <w:color w:val="000000" w:themeColor="text1"/>
          <w:sz w:val="32"/>
          <w:szCs w:val="32"/>
          <w:lang w:eastAsia="zh-CN"/>
          <w14:textFill>
            <w14:solidFill>
              <w14:schemeClr w14:val="tx1"/>
            </w14:solidFill>
          </w14:textFill>
        </w:rPr>
        <w:t>三、</w:t>
      </w:r>
      <w:r>
        <w:rPr>
          <w:rFonts w:ascii="仿宋" w:eastAsia="仿宋" w:hAnsi="仿宋" w:cs="仿宋" w:hint="eastAsia"/>
          <w:b/>
          <w:bCs/>
          <w:color w:val="000000" w:themeColor="text1"/>
          <w:sz w:val="32"/>
          <w:szCs w:val="32"/>
          <w:lang w:val="en-US" w:eastAsia="zh-CN"/>
          <w14:textFill>
            <w14:solidFill>
              <w14:schemeClr w14:val="tx1"/>
            </w14:solidFill>
          </w14:textFill>
        </w:rPr>
        <w:t>拨付交管大队办公费用</w:t>
      </w:r>
      <w:r>
        <w:rPr>
          <w:rFonts w:ascii="仿宋" w:eastAsia="仿宋" w:hAnsi="仿宋" w:cs="仿宋" w:hint="eastAsia"/>
          <w:b/>
          <w:bCs/>
          <w:color w:val="000000" w:themeColor="text1"/>
          <w:sz w:val="32"/>
          <w:szCs w:val="32"/>
          <w14:textFill>
            <w14:solidFill>
              <w14:schemeClr w14:val="tx1"/>
            </w14:solidFill>
          </w14:textFill>
        </w:rPr>
        <w:t>支出绩效目标实现情况分析</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仿宋" w:eastAsia="仿宋" w:hAnsi="仿宋" w:cs="仿宋" w:hint="eastAsia"/>
          <w:sz w:val="32"/>
          <w:szCs w:val="32"/>
          <w:lang w:val="en-US" w:eastAsia="zh-CN"/>
        </w:rPr>
        <w:t>2023年度专项资金</w:t>
      </w:r>
      <w:r>
        <w:rPr>
          <w:rFonts w:ascii="仿宋" w:eastAsia="仿宋" w:hAnsi="仿宋" w:cs="仿宋" w:hint="eastAsia"/>
          <w:b w:val="0"/>
          <w:bCs w:val="0"/>
          <w:sz w:val="32"/>
          <w:szCs w:val="32"/>
          <w:highlight w:val="none"/>
          <w:lang w:val="en-US" w:eastAsia="zh-CN"/>
        </w:rPr>
        <w:t>289.3</w:t>
      </w:r>
      <w:r>
        <w:rPr>
          <w:rFonts w:ascii="仿宋" w:eastAsia="仿宋" w:hAnsi="仿宋" w:cs="仿宋" w:hint="eastAsia"/>
          <w:sz w:val="32"/>
          <w:szCs w:val="32"/>
          <w:lang w:val="en-US" w:eastAsia="zh-CN"/>
        </w:rPr>
        <w:t>万元已大部分已拨付到位</w:t>
      </w:r>
      <w:r>
        <w:rPr>
          <w:rFonts w:ascii="仿宋" w:eastAsia="仿宋" w:hAnsi="仿宋" w:cs="仿宋" w:hint="eastAsia"/>
          <w:b w:val="0"/>
          <w:bCs w:val="0"/>
          <w:sz w:val="32"/>
          <w:szCs w:val="32"/>
          <w:lang w:val="en-US" w:eastAsia="zh-CN"/>
        </w:rPr>
        <w:t>。公安拨付交管大队办公费用支付资金管理工作完成了年度绩效目标，所有项目的日常管理均按照单位相关管理制度执行，建立了工作有计划、实施有方案的管理机制，工作取得较好成效，效能得到提高，获得社会公众好评。</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color w:val="000000" w:themeColor="text1"/>
          <w:sz w:val="32"/>
          <w:szCs w:val="32"/>
          <w14:textFill>
            <w14:solidFill>
              <w14:schemeClr w14:val="tx1"/>
            </w14:solidFill>
          </w14:textFill>
        </w:rPr>
      </w:pPr>
      <w:r>
        <w:rPr>
          <w:rFonts w:ascii="仿宋" w:eastAsia="仿宋" w:hAnsi="仿宋" w:cs="仿宋" w:hint="eastAsia"/>
          <w:b w:val="0"/>
          <w:bCs w:val="0"/>
          <w:sz w:val="32"/>
          <w:szCs w:val="32"/>
          <w:lang w:val="en-US" w:eastAsia="zh-CN"/>
        </w:rPr>
        <w:t>为确保专款专用，发挥应有作用，我局严格按照专项资金使用管理规定，严防专项资金挪用。专项资金主要用于</w:t>
      </w:r>
      <w:r>
        <w:rPr>
          <w:rFonts w:ascii="仿宋" w:eastAsia="仿宋" w:hAnsi="仿宋" w:cs="仿宋" w:hint="eastAsia"/>
          <w:i w:val="0"/>
          <w:iCs w:val="0"/>
          <w:caps w:val="0"/>
          <w:color w:val="333333"/>
          <w:spacing w:val="0"/>
          <w:sz w:val="32"/>
          <w:szCs w:val="32"/>
          <w:shd w:val="clear" w:color="auto" w:fill="FFFFFF"/>
          <w:lang w:eastAsia="zh-CN"/>
        </w:rPr>
        <w:t>住房公积金</w:t>
      </w:r>
      <w:r>
        <w:rPr>
          <w:rFonts w:ascii="仿宋" w:eastAsia="仿宋" w:hAnsi="仿宋" w:cs="仿宋" w:hint="eastAsia"/>
          <w:b w:val="0"/>
          <w:bCs w:val="0"/>
          <w:sz w:val="32"/>
          <w:szCs w:val="32"/>
          <w:lang w:val="en-US" w:eastAsia="zh-CN"/>
        </w:rPr>
        <w:t>等方面支出</w:t>
      </w:r>
      <w:r>
        <w:rPr>
          <w:rFonts w:ascii="仿宋" w:eastAsia="仿宋" w:hAnsi="仿宋" w:cs="仿宋" w:hint="eastAsia"/>
          <w:color w:val="000000" w:themeColor="text1"/>
          <w:sz w:val="32"/>
          <w:szCs w:val="32"/>
          <w14:textFill>
            <w14:solidFill>
              <w14:schemeClr w14:val="tx1"/>
            </w14:solidFill>
          </w14:textFill>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拨付交管大队办公费用项目绩效自评结果</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评价得分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通过对2023年项目总体情况分析和自查,发现存在项目支出进度不稳,表现为可能集中在某几个月。针对问题,下一步将进一步健全和完善内部控制制度,用创新性管理手段,用新思路、新方法,改进完善财务管理方法。</w:t>
      </w:r>
    </w:p>
    <w:tbl>
      <w:tblPr>
        <w:tblStyle w:val="TableGrid"/>
        <w:tblW w:w="9301" w:type="dxa"/>
        <w:tblInd w:w="-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220"/>
        <w:gridCol w:w="1575"/>
        <w:gridCol w:w="1800"/>
        <w:gridCol w:w="1816"/>
        <w:gridCol w:w="1890"/>
      </w:tblGrid>
      <w:tr>
        <w:tblPrEx>
          <w:tblW w:w="9301" w:type="dxa"/>
          <w:tblInd w:w="-216" w:type="dxa"/>
        </w:tblPrEx>
        <w:trPr>
          <w:trHeight w:val="1379"/>
        </w:trPr>
        <w:tc>
          <w:tcPr>
            <w:tcW w:w="2220" w:type="dxa"/>
            <w:vAlign w:val="bottom"/>
          </w:tcPr>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p>
          <w:p>
            <w:pPr>
              <w:numPr>
                <w:ilvl w:val="0"/>
                <w:numId w:val="0"/>
              </w:numPr>
              <w:snapToGrid w:val="0"/>
              <w:spacing w:line="240" w:lineRule="auto"/>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分值</w:t>
            </w:r>
          </w:p>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项目申报资金情况</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项目及资金管理</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项目完成及质量指标</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项目效益及效果指标</w:t>
            </w:r>
          </w:p>
        </w:tc>
      </w:tr>
      <w:tr>
        <w:tblPrEx>
          <w:tblW w:w="9301" w:type="dxa"/>
          <w:tblInd w:w="-216" w:type="dxa"/>
        </w:tblPrEx>
        <w:trPr>
          <w:trHeight w:val="92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适用指标分值</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44"/>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评价得分</w:t>
            </w:r>
          </w:p>
        </w:tc>
        <w:tc>
          <w:tcPr>
            <w:tcW w:w="1575"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15</w:t>
            </w:r>
          </w:p>
        </w:tc>
        <w:tc>
          <w:tcPr>
            <w:tcW w:w="180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20</w:t>
            </w:r>
          </w:p>
        </w:tc>
        <w:tc>
          <w:tcPr>
            <w:tcW w:w="1816"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40</w:t>
            </w:r>
          </w:p>
        </w:tc>
        <w:tc>
          <w:tcPr>
            <w:tcW w:w="1890" w:type="dxa"/>
            <w:vAlign w:val="top"/>
          </w:tcPr>
          <w:p>
            <w:pPr>
              <w:pStyle w:val="NormalWeb"/>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0" w:right="0" w:firstLine="0" w:leftChars="0" w:rightChars="0" w:firstLineChars="0"/>
              <w:jc w:val="center"/>
              <w:textAlignment w:val="auto"/>
              <w:rPr>
                <w:rFonts w:ascii="仿宋" w:eastAsia="仿宋" w:hAnsi="仿宋" w:cs="仿宋" w:hint="eastAsia"/>
                <w:b w:val="0"/>
                <w:bCs w:val="0"/>
                <w:sz w:val="32"/>
                <w:szCs w:val="32"/>
                <w:vertAlign w:val="baseline"/>
                <w:lang w:val="en-US" w:eastAsia="zh-CN"/>
              </w:rPr>
            </w:pPr>
            <w:r>
              <w:rPr>
                <w:rFonts w:ascii="仿宋_GB2312" w:eastAsia="仿宋_GB2312" w:hAnsi="仿宋_GB2312" w:cs="仿宋_GB2312" w:hint="eastAsia"/>
                <w:b w:val="0"/>
                <w:i w:val="0"/>
                <w:caps w:val="0"/>
                <w:color w:val="auto"/>
                <w:spacing w:val="0"/>
                <w:sz w:val="28"/>
                <w:szCs w:val="28"/>
                <w:shd w:val="clear" w:color="auto" w:fill="FFFFFF"/>
                <w:vertAlign w:val="baseline"/>
                <w:lang w:val="en-US" w:eastAsia="zh-CN"/>
              </w:rPr>
              <w:t>25</w:t>
            </w:r>
          </w:p>
        </w:tc>
      </w:tr>
      <w:tr>
        <w:tblPrEx>
          <w:tblW w:w="9301" w:type="dxa"/>
          <w:tblInd w:w="-216" w:type="dxa"/>
        </w:tblPrEx>
        <w:trPr>
          <w:trHeight w:val="879"/>
        </w:trPr>
        <w:tc>
          <w:tcPr>
            <w:tcW w:w="222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指标得分率</w:t>
            </w:r>
          </w:p>
        </w:tc>
        <w:tc>
          <w:tcPr>
            <w:tcW w:w="1575"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0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16"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c>
          <w:tcPr>
            <w:tcW w:w="1890" w:type="dxa"/>
            <w:vAlign w:val="center"/>
          </w:tcPr>
          <w:p>
            <w:pPr>
              <w:numPr>
                <w:ilvl w:val="0"/>
                <w:numId w:val="0"/>
              </w:numPr>
              <w:jc w:val="center"/>
              <w:rPr>
                <w:rFonts w:ascii="仿宋" w:eastAsia="仿宋" w:hAnsi="仿宋" w:cs="仿宋" w:hint="eastAsia"/>
                <w:b w:val="0"/>
                <w:bCs w:val="0"/>
                <w:sz w:val="32"/>
                <w:szCs w:val="32"/>
                <w:vertAlign w:val="baseline"/>
                <w:lang w:val="en-US" w:eastAsia="zh-CN"/>
              </w:rPr>
            </w:pPr>
            <w:r>
              <w:rPr>
                <w:rFonts w:ascii="仿宋" w:eastAsia="仿宋" w:hAnsi="仿宋" w:cs="仿宋" w:hint="eastAsia"/>
                <w:b w:val="0"/>
                <w:bCs w:val="0"/>
                <w:sz w:val="32"/>
                <w:szCs w:val="32"/>
                <w:vertAlign w:val="baseline"/>
                <w:lang w:val="en-US" w:eastAsia="zh-CN"/>
              </w:rPr>
              <w:t>100%</w:t>
            </w:r>
          </w:p>
        </w:tc>
      </w:tr>
    </w:tbl>
    <w:p>
      <w:pPr>
        <w:keepNext w:val="0"/>
        <w:keepLines w:val="0"/>
        <w:pageBreakBefore w:val="0"/>
        <w:widowControl w:val="0"/>
        <w:numPr>
          <w:ilvl w:val="0"/>
          <w:numId w:val="3"/>
        </w:numPr>
        <w:kinsoku/>
        <w:wordWrap/>
        <w:overflowPunct/>
        <w:topLinePunct w:val="0"/>
        <w:autoSpaceDE/>
        <w:autoSpaceDN/>
        <w:bidi w:val="0"/>
        <w:adjustRightInd/>
        <w:snapToGrid/>
        <w:ind w:left="0"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指标得分分析</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1.项目申报及资金落实情况（满分15分自评得分15分）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color w:val="222222"/>
          <w:spacing w:val="6"/>
          <w:sz w:val="32"/>
          <w:szCs w:val="32"/>
          <w:lang w:val="en-US" w:eastAsia="zh-CN"/>
        </w:rPr>
      </w:pPr>
      <w:r>
        <w:rPr>
          <w:rFonts w:ascii="仿宋" w:eastAsia="仿宋" w:hAnsi="仿宋" w:cs="仿宋" w:hint="eastAsia"/>
          <w:color w:val="222222"/>
          <w:spacing w:val="6"/>
          <w:sz w:val="32"/>
          <w:szCs w:val="32"/>
          <w:lang w:val="en-US" w:eastAsia="zh-CN"/>
        </w:rPr>
        <w:t>申报材料和条件符合相关要求，且有绩效事前评价，经单位绩效考核小组严格遴选评审，项目绩效目标明确且清晰、细化、可衡量。</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2023年县财政局下达部门预算中拨付交管大队办公费用预算批复数为</w:t>
      </w:r>
      <w:r>
        <w:rPr>
          <w:rFonts w:ascii="仿宋" w:eastAsia="仿宋" w:hAnsi="仿宋" w:cs="仿宋" w:hint="eastAsia"/>
          <w:b w:val="0"/>
          <w:bCs w:val="0"/>
          <w:sz w:val="32"/>
          <w:szCs w:val="32"/>
          <w:highlight w:val="none"/>
          <w:lang w:val="en-US" w:eastAsia="zh-CN"/>
        </w:rPr>
        <w:t>289.3</w:t>
      </w:r>
      <w:r>
        <w:rPr>
          <w:rFonts w:ascii="仿宋" w:eastAsia="仿宋" w:hAnsi="仿宋" w:cs="仿宋" w:hint="eastAsia"/>
          <w:b w:val="0"/>
          <w:bCs w:val="0"/>
          <w:sz w:val="32"/>
          <w:szCs w:val="32"/>
          <w:lang w:val="en-US" w:eastAsia="zh-CN"/>
        </w:rPr>
        <w:t>万元，截止2023年11月30日，该项目的资金到位率为97.28％，资金及时到位，未影响项目进度。</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2.项目及资金管理情况（满分20分自评得分20分）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我局对专项资金使用有专门的管理制度,专款专用,严禁挪用和超范围开支,同时专项经费开支也严格遵照《寿县公安局财务管理办法》(试行)实施。2023年公安拨付交管大队办公费用主要用于</w:t>
      </w:r>
      <w:r>
        <w:rPr>
          <w:rFonts w:ascii="仿宋" w:eastAsia="仿宋" w:hAnsi="仿宋" w:cs="仿宋" w:hint="eastAsia"/>
          <w:sz w:val="32"/>
          <w:szCs w:val="32"/>
          <w:lang w:val="en-US" w:eastAsia="zh-CN"/>
        </w:rPr>
        <w:t>其他商品和服务支出</w:t>
      </w:r>
      <w:r>
        <w:rPr>
          <w:rFonts w:ascii="仿宋" w:eastAsia="仿宋" w:hAnsi="仿宋" w:cs="仿宋" w:hint="eastAsia"/>
          <w:b w:val="0"/>
          <w:bCs w:val="0"/>
          <w:sz w:val="32"/>
          <w:szCs w:val="32"/>
          <w:lang w:val="en-US" w:eastAsia="zh-CN"/>
        </w:rPr>
        <w:t>等方面支出。截止2023年11月30日,该项目经费执行率为97.28％,无超标准和无超预算开支情况。</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3.项目完成及质量产出指标（满分40分自评得分40分）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(1)年度目标完成率（满分15分,评价得分15分）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2023年初既定工作指标值全部完成,较好完成全年工作任务。依据评分标准得满分。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(2)质量达标率（满分15分,评价得分15分）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完工项目已全部达标,质量达标率=（质量达标产出数/实际产出数）×100%=100%。依据评分标准得满分。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(3)项目完成及时率（满分10分,评价得分10分）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val="0"/>
          <w:bCs w:val="0"/>
          <w:sz w:val="32"/>
          <w:szCs w:val="32"/>
          <w:lang w:val="en-US" w:eastAsia="zh-CN"/>
        </w:rPr>
        <w:t>年度目标已完全按时完成,项目完成及时率=按时完成年度目标数/全部年度目标数×100％=100％。依据评分标准得满分。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4.项目效益效果指标（满分25分,自评得分25分）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(1)数量指标（满分5分,自评得分5分）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default"/>
          <w:b w:val="0"/>
          <w:bCs/>
          <w:kern w:val="0"/>
          <w:sz w:val="32"/>
          <w:szCs w:val="32"/>
          <w:lang w:val="en-US" w:eastAsia="zh-CN" w:bidi="ar-SA"/>
        </w:rPr>
      </w:pPr>
      <w:r>
        <w:rPr>
          <w:rFonts w:ascii="仿宋" w:eastAsia="仿宋" w:hAnsi="仿宋" w:cs="仿宋" w:hint="eastAsia"/>
          <w:sz w:val="32"/>
          <w:szCs w:val="32"/>
        </w:rPr>
        <w:t>202</w:t>
      </w:r>
      <w:r>
        <w:rPr>
          <w:rFonts w:ascii="仿宋" w:eastAsia="仿宋" w:hAnsi="仿宋" w:cs="仿宋" w:hint="eastAsia"/>
          <w:sz w:val="32"/>
          <w:szCs w:val="32"/>
          <w:lang w:val="en-US" w:eastAsia="zh-CN"/>
        </w:rPr>
        <w:t>3</w:t>
      </w:r>
      <w:r>
        <w:rPr>
          <w:rFonts w:ascii="仿宋" w:eastAsia="仿宋" w:hAnsi="仿宋" w:cs="仿宋" w:hint="eastAsia"/>
          <w:sz w:val="32"/>
          <w:szCs w:val="32"/>
        </w:rPr>
        <w:t>年寿县</w:t>
      </w:r>
      <w:r>
        <w:rPr>
          <w:rFonts w:ascii="仿宋" w:eastAsia="仿宋" w:hAnsi="仿宋" w:cs="仿宋" w:hint="eastAsia"/>
          <w:b w:val="0"/>
          <w:bCs/>
          <w:kern w:val="0"/>
          <w:sz w:val="32"/>
          <w:szCs w:val="32"/>
          <w:lang w:val="en-US" w:eastAsia="zh-CN" w:bidi="ar-SA"/>
        </w:rPr>
        <w:t>公安局拨付交管大队办公费用发布交通安全提示警示信息大于等于一万条，查纠处罚违法行为大于等于十四万次，</w:t>
      </w:r>
      <w:r>
        <w:rPr>
          <w:rFonts w:ascii="仿宋" w:eastAsia="仿宋" w:hAnsi="仿宋" w:cs="仿宋" w:hint="eastAsia"/>
          <w:b w:val="0"/>
          <w:bCs/>
          <w:sz w:val="32"/>
          <w:szCs w:val="32"/>
          <w:lang w:eastAsia="zh-CN"/>
        </w:rPr>
        <w:t>遏制较大道路交通事故，杜绝重大事故，事故起数和死亡人数下降，增强人民群众文明交通意识、交通管理服务水平</w:t>
      </w:r>
      <w:r>
        <w:rPr>
          <w:rFonts w:ascii="仿宋" w:eastAsia="仿宋" w:hAnsi="仿宋" w:cs="仿宋" w:hint="eastAsia"/>
          <w:b w:val="0"/>
          <w:bCs/>
          <w:kern w:val="0"/>
          <w:sz w:val="32"/>
          <w:szCs w:val="32"/>
          <w:lang w:val="en-US" w:eastAsia="zh-CN" w:bidi="ar-SA"/>
        </w:rPr>
        <w:t>。</w:t>
      </w:r>
    </w:p>
    <w:p>
      <w:pPr>
        <w:keepNext w:val="0"/>
        <w:keepLines w:val="0"/>
        <w:pageBreakBefore w:val="0"/>
        <w:widowControl w:val="0"/>
        <w:numPr>
          <w:ilvl w:val="0"/>
          <w:numId w:val="4"/>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质量指标（满分5分,自评得分5分）</w:t>
      </w:r>
    </w:p>
    <w:p>
      <w:pPr>
        <w:pStyle w:val="BodyTextIndent"/>
        <w:keepNext w:val="0"/>
        <w:keepLines w:val="0"/>
        <w:pageBreakBefore w:val="0"/>
        <w:numPr>
          <w:ilvl w:val="0"/>
          <w:numId w:val="0"/>
        </w:numPr>
        <w:kinsoku/>
        <w:wordWrap/>
        <w:overflowPunct/>
        <w:topLinePunct w:val="0"/>
        <w:autoSpaceDE/>
        <w:autoSpaceDN/>
        <w:bidi w:val="0"/>
        <w:spacing w:line="640" w:lineRule="exact"/>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sz w:val="32"/>
          <w:szCs w:val="32"/>
          <w:lang w:val="en-US" w:eastAsia="zh-CN"/>
        </w:rPr>
        <w:t>在资金管理方面做到专款专用，严格执行相关财经法规，控制专项资金的支出合法、合规使用，无截留、挤占、滥用情况</w:t>
      </w:r>
      <w:r>
        <w:rPr>
          <w:rFonts w:ascii="仿宋" w:eastAsia="仿宋" w:hAnsi="仿宋" w:cs="仿宋" w:hint="eastAsia"/>
          <w:b w:val="0"/>
          <w:bCs w:val="0"/>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(3)社会效益指标（满分5分,自评得分5分）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i w:val="0"/>
          <w:iCs w:val="0"/>
          <w:caps w:val="0"/>
          <w:color w:val="333333"/>
          <w:spacing w:val="0"/>
          <w:sz w:val="32"/>
          <w:szCs w:val="32"/>
          <w:shd w:val="clear" w:color="auto" w:fill="FFFFFF"/>
        </w:rPr>
        <w:t>通过项目实施对公安机关中承担维护稳定、行使治安行政管理和履行刑事执法等职能的人民警察进一步落实了从优待警政策，稳定人民警察队伍，增强凝聚力和战斗力，保证社会长治久安，促进社会主义和谐社会建设。</w:t>
      </w:r>
    </w:p>
    <w:p>
      <w:pPr>
        <w:keepNext w:val="0"/>
        <w:keepLines w:val="0"/>
        <w:pageBreakBefore w:val="0"/>
        <w:widowControl w:val="0"/>
        <w:numPr>
          <w:ilvl w:val="0"/>
          <w:numId w:val="0"/>
        </w:numPr>
        <w:kinsoku/>
        <w:wordWrap/>
        <w:overflowPunct/>
        <w:topLinePunct w:val="0"/>
        <w:autoSpaceDE/>
        <w:autoSpaceDN/>
        <w:bidi w:val="0"/>
        <w:adjustRightInd/>
        <w:snapToGrid/>
        <w:ind w:firstLine="640" w:leftChars="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(4)可持续影响指标（满分5分,自评得分5分）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sz w:val="32"/>
          <w:szCs w:val="32"/>
        </w:rPr>
      </w:pPr>
      <w:r>
        <w:rPr>
          <w:rFonts w:ascii="仿宋" w:eastAsia="仿宋" w:hAnsi="仿宋" w:cs="仿宋" w:hint="eastAsia"/>
          <w:b w:val="0"/>
          <w:bCs w:val="0"/>
          <w:sz w:val="32"/>
          <w:szCs w:val="32"/>
          <w:lang w:val="en-US" w:eastAsia="zh-CN"/>
        </w:rPr>
        <w:t>寿县公安局通过此项目的实施对提高公安机关工作效率，提升公安队伍正规化、专业化、职业化水平建设，加强人员力量建设，提高群防群治水平有着持续影响</w:t>
      </w:r>
      <w:r>
        <w:rPr>
          <w:rFonts w:ascii="仿宋" w:eastAsia="仿宋" w:hAnsi="仿宋" w:cs="仿宋" w:hint="eastAsia"/>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(5)群众满意指标（满分5分,自评得分5</w:t>
      </w:r>
      <w:bookmarkStart w:id="0" w:name="_GoBack"/>
      <w:bookmarkEnd w:id="0"/>
      <w:r>
        <w:rPr>
          <w:rFonts w:ascii="仿宋" w:eastAsia="仿宋" w:hAnsi="仿宋" w:cs="仿宋" w:hint="eastAsia"/>
          <w:b/>
          <w:bCs/>
          <w:sz w:val="32"/>
          <w:szCs w:val="32"/>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2023年年底,寿县政法委委托第三方采取摸拟民调电话调查方式,对2023年群众安全感和满意度进行调查,从本次测评情况看,全县群众安全感指数为</w:t>
      </w:r>
      <w:r>
        <w:rPr>
          <w:rFonts w:ascii="仿宋" w:eastAsia="仿宋" w:hAnsi="仿宋" w:cs="仿宋" w:hint="eastAsia"/>
          <w:b w:val="0"/>
          <w:bCs w:val="0"/>
          <w:sz w:val="32"/>
          <w:szCs w:val="32"/>
          <w:highlight w:val="none"/>
          <w:lang w:val="en-US" w:eastAsia="zh-CN"/>
        </w:rPr>
        <w:t>97%,</w:t>
      </w:r>
      <w:r>
        <w:rPr>
          <w:rFonts w:ascii="仿宋" w:eastAsia="仿宋" w:hAnsi="仿宋" w:cs="仿宋" w:hint="eastAsia"/>
          <w:b w:val="0"/>
          <w:bCs w:val="0"/>
          <w:sz w:val="32"/>
          <w:szCs w:val="32"/>
          <w:lang w:val="en-US" w:eastAsia="zh-CN"/>
        </w:rPr>
        <w:t>对公安工作的满意度为</w:t>
      </w:r>
      <w:r>
        <w:rPr>
          <w:rFonts w:ascii="仿宋" w:eastAsia="仿宋" w:hAnsi="仿宋" w:cs="仿宋" w:hint="eastAsia"/>
          <w:b w:val="0"/>
          <w:bCs w:val="0"/>
          <w:sz w:val="32"/>
          <w:szCs w:val="32"/>
          <w:highlight w:val="none"/>
          <w:lang w:val="en-US" w:eastAsia="zh-CN"/>
        </w:rPr>
        <w:t>98</w:t>
      </w:r>
      <w:r>
        <w:rPr>
          <w:rFonts w:ascii="仿宋" w:eastAsia="仿宋" w:hAnsi="仿宋" w:cs="仿宋" w:hint="eastAsia"/>
          <w:b w:val="0"/>
          <w:bCs w:val="0"/>
          <w:sz w:val="32"/>
          <w:szCs w:val="32"/>
          <w:lang w:val="en-US" w:eastAsia="zh-CN"/>
        </w:rPr>
        <w:t>%。社会群众对社会治安表示满意，满意度均超过95%，该专项资金在提高寿县社会治安环境方面起到了明显的促进作用。</w:t>
      </w:r>
    </w:p>
    <w:p>
      <w:pPr>
        <w:keepNext w:val="0"/>
        <w:keepLines w:val="0"/>
        <w:pageBreakBefore w:val="0"/>
        <w:widowControl w:val="0"/>
        <w:numPr>
          <w:ilvl w:val="0"/>
          <w:numId w:val="5"/>
        </w:numPr>
        <w:kinsoku/>
        <w:wordWrap/>
        <w:overflowPunct/>
        <w:topLinePunct w:val="0"/>
        <w:autoSpaceDE/>
        <w:autoSpaceDN/>
        <w:bidi w:val="0"/>
        <w:adjustRightInd/>
        <w:snapToGrid/>
        <w:ind w:firstLine="640" w:firstLineChars="200"/>
        <w:textAlignment w:val="auto"/>
        <w:rPr>
          <w:rFonts w:ascii="仿宋" w:eastAsia="仿宋" w:hAnsi="仿宋" w:cs="仿宋" w:hint="eastAsia"/>
          <w:b/>
          <w:bCs/>
          <w:sz w:val="32"/>
          <w:szCs w:val="32"/>
          <w:lang w:val="en-US" w:eastAsia="zh-CN"/>
        </w:rPr>
      </w:pPr>
      <w:r>
        <w:rPr>
          <w:rFonts w:ascii="仿宋" w:eastAsia="仿宋" w:hAnsi="仿宋" w:cs="仿宋" w:hint="eastAsia"/>
          <w:b/>
          <w:bCs/>
          <w:sz w:val="32"/>
          <w:szCs w:val="32"/>
          <w:lang w:val="en-US" w:eastAsia="zh-CN"/>
        </w:rPr>
        <w:t>项目绩效评价中存在问题及下一步措施</w:t>
      </w:r>
    </w:p>
    <w:p>
      <w:pPr>
        <w:keepNext w:val="0"/>
        <w:keepLines w:val="0"/>
        <w:pageBreakBefore w:val="0"/>
        <w:widowControl w:val="0"/>
        <w:numPr>
          <w:ilvl w:val="0"/>
          <w:numId w:val="6"/>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仿宋" w:hint="eastAsia"/>
          <w:b w:val="0"/>
          <w:bCs w:val="0"/>
          <w:sz w:val="32"/>
          <w:szCs w:val="32"/>
          <w:lang w:val="en-US" w:eastAsia="zh-CN"/>
        </w:rPr>
        <w:t>存在的问题分析</w:t>
      </w:r>
    </w:p>
    <w:p>
      <w:pPr>
        <w:pStyle w:val="NoSpacing"/>
        <w:keepNext w:val="0"/>
        <w:keepLines w:val="0"/>
        <w:pageBreakBefore w:val="0"/>
        <w:kinsoku/>
        <w:wordWrap/>
        <w:overflowPunct/>
        <w:topLinePunct w:val="0"/>
        <w:bidi w:val="0"/>
        <w:snapToGrid/>
        <w:spacing w:line="240" w:lineRule="auto"/>
        <w:ind w:firstLine="640" w:firstLineChars="200"/>
        <w:textAlignment w:val="auto"/>
        <w:rPr>
          <w:rFonts w:ascii="仿宋" w:eastAsia="仿宋" w:hAnsi="仿宋" w:cs="仿宋" w:hint="eastAsia"/>
          <w:b w:val="0"/>
          <w:bCs w:val="0"/>
          <w:kern w:val="2"/>
          <w:sz w:val="32"/>
          <w:szCs w:val="32"/>
          <w:lang w:val="en-US" w:eastAsia="zh-CN" w:bidi="ar-SA"/>
        </w:rPr>
      </w:pPr>
      <w:r>
        <w:rPr>
          <w:rFonts w:ascii="仿宋_GB2312" w:eastAsia="仿宋_GB2312" w:hAnsi="仿宋_GB2312" w:cs="仿宋_GB2312" w:hint="eastAsia"/>
          <w:b w:val="0"/>
          <w:i w:val="0"/>
          <w:caps w:val="0"/>
          <w:color w:val="auto"/>
          <w:spacing w:val="0"/>
          <w:sz w:val="32"/>
          <w:szCs w:val="32"/>
          <w:shd w:val="clear" w:color="auto" w:fill="FFFFFF"/>
          <w:lang w:val="en-US" w:eastAsia="zh-CN"/>
        </w:rPr>
        <w:t>需</w:t>
      </w:r>
      <w:r>
        <w:rPr>
          <w:rFonts w:ascii="仿宋_GB2312" w:eastAsia="仿宋_GB2312" w:hAnsi="仿宋_GB2312" w:cs="仿宋_GB2312" w:hint="eastAsia"/>
          <w:b w:val="0"/>
          <w:i w:val="0"/>
          <w:caps w:val="0"/>
          <w:color w:val="auto"/>
          <w:spacing w:val="0"/>
          <w:sz w:val="32"/>
          <w:szCs w:val="32"/>
          <w:shd w:val="clear" w:color="auto" w:fill="FFFFFF"/>
        </w:rPr>
        <w:t>加强财务力量，规范财务管理</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绩效目标运行情况需要进一步优化。其中，主要的问题包括绩效管理制度还需健全，流程尚需优化</w:t>
      </w:r>
      <w:r>
        <w:rPr>
          <w:rFonts w:ascii="仿宋_GB2312" w:eastAsia="仿宋_GB2312" w:hAnsi="仿宋_GB2312" w:cs="仿宋_GB2312" w:hint="eastAsia"/>
          <w:b w:val="0"/>
          <w:i w:val="0"/>
          <w:caps w:val="0"/>
          <w:color w:val="auto"/>
          <w:spacing w:val="0"/>
          <w:sz w:val="32"/>
          <w:szCs w:val="32"/>
          <w:shd w:val="clear" w:color="auto" w:fill="FFFFFF"/>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sz w:val="32"/>
          <w:szCs w:val="32"/>
          <w:lang w:val="en-US" w:eastAsia="zh-CN"/>
        </w:rPr>
      </w:pPr>
      <w:r>
        <w:rPr>
          <w:rFonts w:ascii="仿宋" w:eastAsia="仿宋" w:hAnsi="仿宋" w:cs="宋体" w:hint="eastAsia"/>
          <w:kern w:val="0"/>
          <w:sz w:val="32"/>
          <w:szCs w:val="32"/>
          <w:lang w:eastAsia="zh-CN"/>
        </w:rPr>
        <w:t>（二）</w:t>
      </w:r>
      <w:r>
        <w:rPr>
          <w:rFonts w:ascii="仿宋" w:eastAsia="仿宋" w:hAnsi="仿宋" w:cs="仿宋" w:hint="eastAsia"/>
          <w:b w:val="0"/>
          <w:bCs w:val="0"/>
          <w:sz w:val="32"/>
          <w:szCs w:val="32"/>
          <w:lang w:val="en-US" w:eastAsia="zh-CN"/>
        </w:rPr>
        <w:t>下一步措施</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ascii="仿宋" w:eastAsia="仿宋" w:hAnsi="仿宋" w:cs="仿宋" w:hint="eastAsia"/>
          <w:b w:val="0"/>
          <w:bCs w:val="0"/>
          <w:kern w:val="2"/>
          <w:sz w:val="32"/>
          <w:szCs w:val="32"/>
          <w:lang w:val="en-US" w:eastAsia="zh-CN" w:bidi="ar-SA"/>
        </w:rPr>
      </w:pPr>
      <w:r>
        <w:rPr>
          <w:rFonts w:ascii="仿宋_GB2312" w:eastAsia="仿宋_GB2312" w:hAnsi="仿宋_GB2312" w:cs="仿宋_GB2312" w:hint="eastAsia"/>
          <w:b w:val="0"/>
          <w:i w:val="0"/>
          <w:caps w:val="0"/>
          <w:color w:val="auto"/>
          <w:spacing w:val="0"/>
          <w:sz w:val="32"/>
          <w:szCs w:val="32"/>
          <w:shd w:val="clear" w:color="auto" w:fill="FFFFFF"/>
        </w:rPr>
        <w:t>充实财务人员</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加强对财务人员培养。鼓励财务人员参加各种专业培训，熟练掌握财政政策和财经法规，不断提高其专业水平</w:t>
      </w:r>
      <w:r>
        <w:rPr>
          <w:rFonts w:ascii="仿宋_GB2312" w:eastAsia="仿宋_GB2312" w:hAnsi="仿宋_GB2312" w:cs="仿宋_GB2312" w:hint="eastAsia"/>
          <w:b w:val="0"/>
          <w:i w:val="0"/>
          <w:caps w:val="0"/>
          <w:color w:val="auto"/>
          <w:spacing w:val="0"/>
          <w:sz w:val="32"/>
          <w:szCs w:val="32"/>
          <w:shd w:val="clear" w:color="auto" w:fill="FFFFFF"/>
          <w:lang w:eastAsia="zh-CN"/>
        </w:rPr>
        <w:t>，</w:t>
      </w:r>
      <w:r>
        <w:rPr>
          <w:rFonts w:ascii="仿宋_GB2312" w:eastAsia="仿宋_GB2312" w:hAnsi="仿宋_GB2312" w:cs="仿宋_GB2312" w:hint="eastAsia"/>
          <w:b w:val="0"/>
          <w:i w:val="0"/>
          <w:caps w:val="0"/>
          <w:color w:val="auto"/>
          <w:spacing w:val="0"/>
          <w:sz w:val="32"/>
          <w:szCs w:val="32"/>
          <w:shd w:val="clear" w:color="auto" w:fill="FFFFFF"/>
        </w:rPr>
        <w:t>健全绩效管理制度，</w:t>
      </w:r>
      <w:r>
        <w:rPr>
          <w:rFonts w:ascii="仿宋_GB2312" w:eastAsia="仿宋_GB2312" w:hAnsi="仿宋_GB2312" w:cs="仿宋_GB2312" w:hint="eastAsia"/>
          <w:b w:val="0"/>
          <w:i w:val="0"/>
          <w:caps w:val="0"/>
          <w:color w:val="auto"/>
          <w:spacing w:val="0"/>
          <w:sz w:val="32"/>
          <w:szCs w:val="32"/>
          <w:shd w:val="clear" w:color="auto" w:fill="FFFFFF"/>
          <w:lang w:val="en-US" w:eastAsia="zh-CN"/>
        </w:rPr>
        <w:t>优化流程</w:t>
      </w:r>
      <w:r>
        <w:rPr>
          <w:rFonts w:ascii="仿宋" w:eastAsia="仿宋" w:hAnsi="仿宋" w:cs="仿宋" w:hint="eastAsia"/>
          <w:b w:val="0"/>
          <w:bCs w:val="0"/>
          <w:kern w:val="2"/>
          <w:sz w:val="32"/>
          <w:szCs w:val="32"/>
          <w:lang w:val="en-US" w:eastAsia="zh-CN" w:bidi="ar-SA"/>
        </w:rPr>
        <w:t>。</w:t>
      </w:r>
    </w:p>
    <w:sectPr>
      <w:pgSz w:w="11906" w:h="16838"/>
      <w:pgMar w:top="1440" w:right="1706"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58231FD"/>
    <w:multiLevelType w:val="singleLevel"/>
    <w:tmpl w:val="F58231FD"/>
    <w:lvl w:ilvl="0">
      <w:start w:val="1"/>
      <w:numFmt w:val="chineseCounting"/>
      <w:suff w:val="nothing"/>
      <w:lvlText w:val="（%1）"/>
      <w:lvlJc w:val="left"/>
      <w:rPr>
        <w:rFonts w:hint="eastAsia"/>
      </w:rPr>
    </w:lvl>
  </w:abstractNum>
  <w:abstractNum w:abstractNumId="1">
    <w:nsid w:val="28865039"/>
    <w:multiLevelType w:val="singleLevel"/>
    <w:tmpl w:val="28865039"/>
    <w:lvl w:ilvl="0">
      <w:start w:val="4"/>
      <w:numFmt w:val="chineseCounting"/>
      <w:suff w:val="nothing"/>
      <w:lvlText w:val="%1、"/>
      <w:lvlJc w:val="left"/>
      <w:rPr>
        <w:rFonts w:hint="eastAsia"/>
      </w:rPr>
    </w:lvl>
  </w:abstractNum>
  <w:abstractNum w:abstractNumId="2">
    <w:nsid w:val="38E66872"/>
    <w:multiLevelType w:val="singleLevel"/>
    <w:tmpl w:val="38E66872"/>
    <w:lvl w:ilvl="0">
      <w:start w:val="1"/>
      <w:numFmt w:val="chineseCounting"/>
      <w:suff w:val="nothing"/>
      <w:lvlText w:val="%1、"/>
      <w:lvlJc w:val="left"/>
      <w:rPr>
        <w:rFonts w:hint="eastAsia"/>
      </w:rPr>
    </w:lvl>
  </w:abstractNum>
  <w:abstractNum w:abstractNumId="3">
    <w:nsid w:val="518DE2FB"/>
    <w:multiLevelType w:val="singleLevel"/>
    <w:tmpl w:val="518DE2FB"/>
    <w:lvl w:ilvl="0">
      <w:start w:val="5"/>
      <w:numFmt w:val="chineseCounting"/>
      <w:suff w:val="nothing"/>
      <w:lvlText w:val="%1、"/>
      <w:lvlJc w:val="left"/>
      <w:rPr>
        <w:rFonts w:hint="eastAsia"/>
      </w:rPr>
    </w:lvl>
  </w:abstractNum>
  <w:abstractNum w:abstractNumId="4">
    <w:nsid w:val="618BF865"/>
    <w:multiLevelType w:val="singleLevel"/>
    <w:tmpl w:val="618BF865"/>
    <w:lvl w:ilvl="0">
      <w:start w:val="2"/>
      <w:numFmt w:val="decimal"/>
      <w:lvlText w:val="(%1)"/>
      <w:lvlJc w:val="left"/>
      <w:pPr>
        <w:tabs>
          <w:tab w:val="left" w:pos="312"/>
        </w:tabs>
      </w:pPr>
    </w:lvl>
  </w:abstractNum>
  <w:abstractNum w:abstractNumId="5">
    <w:nsid w:val="6E5E64B3"/>
    <w:multiLevelType w:val="singleLevel"/>
    <w:tmpl w:val="6E5E64B3"/>
    <w:lvl w:ilvl="0">
      <w:start w:val="1"/>
      <w:numFmt w:val="chineseCounting"/>
      <w:suff w:val="nothing"/>
      <w:lvlText w:val="（%1）"/>
      <w:lvlJc w:val="left"/>
      <w:rPr>
        <w:rFonts w:hint="eastAsia"/>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04F"/>
    <w:rsid w:val="0005075C"/>
    <w:rsid w:val="000E2F9D"/>
    <w:rsid w:val="00143973"/>
    <w:rsid w:val="0025300C"/>
    <w:rsid w:val="002606CA"/>
    <w:rsid w:val="002F0AE2"/>
    <w:rsid w:val="003922BE"/>
    <w:rsid w:val="005801B4"/>
    <w:rsid w:val="00633552"/>
    <w:rsid w:val="006D27FF"/>
    <w:rsid w:val="0081781B"/>
    <w:rsid w:val="0082504F"/>
    <w:rsid w:val="008909DB"/>
    <w:rsid w:val="009466EE"/>
    <w:rsid w:val="00C36AEE"/>
    <w:rsid w:val="00CB51FE"/>
    <w:rsid w:val="00D77810"/>
    <w:rsid w:val="00F26490"/>
    <w:rsid w:val="00FE4037"/>
    <w:rsid w:val="012D0479"/>
    <w:rsid w:val="02005B8D"/>
    <w:rsid w:val="02B961CD"/>
    <w:rsid w:val="03D13EB1"/>
    <w:rsid w:val="04206237"/>
    <w:rsid w:val="0460711B"/>
    <w:rsid w:val="05551D4C"/>
    <w:rsid w:val="05D35C95"/>
    <w:rsid w:val="05DC4DA9"/>
    <w:rsid w:val="05F477B7"/>
    <w:rsid w:val="07E367B5"/>
    <w:rsid w:val="080737D2"/>
    <w:rsid w:val="084762C4"/>
    <w:rsid w:val="08AA53A0"/>
    <w:rsid w:val="090F3BD9"/>
    <w:rsid w:val="091C32AD"/>
    <w:rsid w:val="099C263F"/>
    <w:rsid w:val="09B04437"/>
    <w:rsid w:val="09FC6C3A"/>
    <w:rsid w:val="0A540824"/>
    <w:rsid w:val="0A6C2BAE"/>
    <w:rsid w:val="0A717628"/>
    <w:rsid w:val="0AAE6186"/>
    <w:rsid w:val="0ACF434F"/>
    <w:rsid w:val="0AFA33CD"/>
    <w:rsid w:val="0B1F52D6"/>
    <w:rsid w:val="0BC8771C"/>
    <w:rsid w:val="0C2552D2"/>
    <w:rsid w:val="0C2D757F"/>
    <w:rsid w:val="0C9F66CF"/>
    <w:rsid w:val="0CAF1744"/>
    <w:rsid w:val="0D4903E8"/>
    <w:rsid w:val="0DB25F3C"/>
    <w:rsid w:val="0DB53CD0"/>
    <w:rsid w:val="0DCF4D92"/>
    <w:rsid w:val="0E7C659C"/>
    <w:rsid w:val="0ED4462A"/>
    <w:rsid w:val="0F5F0397"/>
    <w:rsid w:val="0FB3423F"/>
    <w:rsid w:val="0FE424D3"/>
    <w:rsid w:val="101813A4"/>
    <w:rsid w:val="10956862"/>
    <w:rsid w:val="10BE10ED"/>
    <w:rsid w:val="10C009C2"/>
    <w:rsid w:val="110B6933"/>
    <w:rsid w:val="111B6540"/>
    <w:rsid w:val="1124113D"/>
    <w:rsid w:val="122B4561"/>
    <w:rsid w:val="13160D6D"/>
    <w:rsid w:val="137D2B9A"/>
    <w:rsid w:val="14C667C2"/>
    <w:rsid w:val="15744470"/>
    <w:rsid w:val="159E329B"/>
    <w:rsid w:val="15A468C3"/>
    <w:rsid w:val="16117F11"/>
    <w:rsid w:val="161F43DC"/>
    <w:rsid w:val="165027E8"/>
    <w:rsid w:val="16695657"/>
    <w:rsid w:val="17A34B99"/>
    <w:rsid w:val="17C36FE9"/>
    <w:rsid w:val="17F6539C"/>
    <w:rsid w:val="181141F9"/>
    <w:rsid w:val="188F0F8B"/>
    <w:rsid w:val="189D1475"/>
    <w:rsid w:val="18F338FE"/>
    <w:rsid w:val="193006AE"/>
    <w:rsid w:val="195720DF"/>
    <w:rsid w:val="1A5F124B"/>
    <w:rsid w:val="1B911AA0"/>
    <w:rsid w:val="1BA17367"/>
    <w:rsid w:val="1BCF41AF"/>
    <w:rsid w:val="1CDA2E0B"/>
    <w:rsid w:val="1CF87735"/>
    <w:rsid w:val="1D3124FB"/>
    <w:rsid w:val="1D9C4564"/>
    <w:rsid w:val="1E5D1F46"/>
    <w:rsid w:val="1EAC07D7"/>
    <w:rsid w:val="206A094A"/>
    <w:rsid w:val="22551C7F"/>
    <w:rsid w:val="22794E74"/>
    <w:rsid w:val="236478D2"/>
    <w:rsid w:val="236E69A3"/>
    <w:rsid w:val="23E138B2"/>
    <w:rsid w:val="23FA5FEA"/>
    <w:rsid w:val="24150BCD"/>
    <w:rsid w:val="241C4DC8"/>
    <w:rsid w:val="244122E3"/>
    <w:rsid w:val="246833F2"/>
    <w:rsid w:val="25090731"/>
    <w:rsid w:val="2593624D"/>
    <w:rsid w:val="25950217"/>
    <w:rsid w:val="26281F8A"/>
    <w:rsid w:val="26E56F7C"/>
    <w:rsid w:val="2769195B"/>
    <w:rsid w:val="27AA5AD0"/>
    <w:rsid w:val="28AC5FA3"/>
    <w:rsid w:val="28BE1833"/>
    <w:rsid w:val="293910C7"/>
    <w:rsid w:val="297208B4"/>
    <w:rsid w:val="2A263B34"/>
    <w:rsid w:val="2A457C31"/>
    <w:rsid w:val="2AA607D0"/>
    <w:rsid w:val="2B0A5203"/>
    <w:rsid w:val="2BE772F2"/>
    <w:rsid w:val="2C536736"/>
    <w:rsid w:val="2CF94F11"/>
    <w:rsid w:val="2D382F2D"/>
    <w:rsid w:val="2D4665ED"/>
    <w:rsid w:val="2DAF3E40"/>
    <w:rsid w:val="2E2D218E"/>
    <w:rsid w:val="2E4B1A14"/>
    <w:rsid w:val="2EC1468C"/>
    <w:rsid w:val="2F3425AF"/>
    <w:rsid w:val="2F5E26DD"/>
    <w:rsid w:val="2F891AC0"/>
    <w:rsid w:val="2FC17E5A"/>
    <w:rsid w:val="301E5640"/>
    <w:rsid w:val="307308B6"/>
    <w:rsid w:val="30E6401D"/>
    <w:rsid w:val="31850497"/>
    <w:rsid w:val="31EA5447"/>
    <w:rsid w:val="326276D3"/>
    <w:rsid w:val="326D7632"/>
    <w:rsid w:val="32820142"/>
    <w:rsid w:val="3498562E"/>
    <w:rsid w:val="350619E7"/>
    <w:rsid w:val="354E3F3E"/>
    <w:rsid w:val="357038BE"/>
    <w:rsid w:val="36301896"/>
    <w:rsid w:val="36356EAC"/>
    <w:rsid w:val="3659703F"/>
    <w:rsid w:val="365B3E4B"/>
    <w:rsid w:val="369817C2"/>
    <w:rsid w:val="36DB5CA6"/>
    <w:rsid w:val="380E0502"/>
    <w:rsid w:val="38187F70"/>
    <w:rsid w:val="38AE3672"/>
    <w:rsid w:val="38DE5E5B"/>
    <w:rsid w:val="38EC7CF6"/>
    <w:rsid w:val="39192815"/>
    <w:rsid w:val="391E4325"/>
    <w:rsid w:val="39AB0C56"/>
    <w:rsid w:val="39B527DE"/>
    <w:rsid w:val="39DB0014"/>
    <w:rsid w:val="3A4122C4"/>
    <w:rsid w:val="3A63223A"/>
    <w:rsid w:val="3B1B038C"/>
    <w:rsid w:val="3B20012B"/>
    <w:rsid w:val="3B24667E"/>
    <w:rsid w:val="3BB80364"/>
    <w:rsid w:val="3BDA76DD"/>
    <w:rsid w:val="3BE63C16"/>
    <w:rsid w:val="3CD613E9"/>
    <w:rsid w:val="3CDB207C"/>
    <w:rsid w:val="3CF61143"/>
    <w:rsid w:val="3D822D14"/>
    <w:rsid w:val="3DA75DF7"/>
    <w:rsid w:val="3DAF5701"/>
    <w:rsid w:val="3DFD0E35"/>
    <w:rsid w:val="3EC7548D"/>
    <w:rsid w:val="3EE74C8D"/>
    <w:rsid w:val="3F055FB6"/>
    <w:rsid w:val="3F2A5A1C"/>
    <w:rsid w:val="3F3E3276"/>
    <w:rsid w:val="3F424B14"/>
    <w:rsid w:val="3FFC0EFD"/>
    <w:rsid w:val="3FFF2A05"/>
    <w:rsid w:val="40211CFA"/>
    <w:rsid w:val="40442B0E"/>
    <w:rsid w:val="40493C80"/>
    <w:rsid w:val="405419C9"/>
    <w:rsid w:val="4081166C"/>
    <w:rsid w:val="40A4226A"/>
    <w:rsid w:val="40F262A2"/>
    <w:rsid w:val="413569C7"/>
    <w:rsid w:val="414F176A"/>
    <w:rsid w:val="41E40104"/>
    <w:rsid w:val="421D53C4"/>
    <w:rsid w:val="42871162"/>
    <w:rsid w:val="431E31A2"/>
    <w:rsid w:val="432D1637"/>
    <w:rsid w:val="435766B4"/>
    <w:rsid w:val="4383394D"/>
    <w:rsid w:val="43853221"/>
    <w:rsid w:val="44DD2EAA"/>
    <w:rsid w:val="45A539C0"/>
    <w:rsid w:val="462E6545"/>
    <w:rsid w:val="469814BD"/>
    <w:rsid w:val="46E82445"/>
    <w:rsid w:val="47240C02"/>
    <w:rsid w:val="472F66E6"/>
    <w:rsid w:val="474D04FA"/>
    <w:rsid w:val="480A3EF4"/>
    <w:rsid w:val="48403BBB"/>
    <w:rsid w:val="48B41D54"/>
    <w:rsid w:val="48FD5F50"/>
    <w:rsid w:val="49276B29"/>
    <w:rsid w:val="49F54671"/>
    <w:rsid w:val="49FF31B8"/>
    <w:rsid w:val="4ACF7478"/>
    <w:rsid w:val="4BB723E6"/>
    <w:rsid w:val="4C6F4332"/>
    <w:rsid w:val="4D9549A9"/>
    <w:rsid w:val="4D9D5085"/>
    <w:rsid w:val="4E233D62"/>
    <w:rsid w:val="4EF120B3"/>
    <w:rsid w:val="4F8135A6"/>
    <w:rsid w:val="4FD33566"/>
    <w:rsid w:val="4FF736F9"/>
    <w:rsid w:val="501E6ED7"/>
    <w:rsid w:val="501F3D69"/>
    <w:rsid w:val="51864D34"/>
    <w:rsid w:val="51E87E4E"/>
    <w:rsid w:val="524B3888"/>
    <w:rsid w:val="526D37FE"/>
    <w:rsid w:val="52EA4E4F"/>
    <w:rsid w:val="530323B4"/>
    <w:rsid w:val="530D0F36"/>
    <w:rsid w:val="538D7C23"/>
    <w:rsid w:val="54062551"/>
    <w:rsid w:val="54D933CD"/>
    <w:rsid w:val="55173EF5"/>
    <w:rsid w:val="5570716B"/>
    <w:rsid w:val="55763FD6"/>
    <w:rsid w:val="558F7F2F"/>
    <w:rsid w:val="5631260C"/>
    <w:rsid w:val="57686C8A"/>
    <w:rsid w:val="57983795"/>
    <w:rsid w:val="58896245"/>
    <w:rsid w:val="589E5AD7"/>
    <w:rsid w:val="593C61EB"/>
    <w:rsid w:val="596D67DA"/>
    <w:rsid w:val="5A185B07"/>
    <w:rsid w:val="5A617C04"/>
    <w:rsid w:val="5B8152C0"/>
    <w:rsid w:val="5BAB53E2"/>
    <w:rsid w:val="5BB4249E"/>
    <w:rsid w:val="5C45730C"/>
    <w:rsid w:val="5C4C6B7A"/>
    <w:rsid w:val="5C553C81"/>
    <w:rsid w:val="5C78171D"/>
    <w:rsid w:val="5CA6628A"/>
    <w:rsid w:val="5D4F6922"/>
    <w:rsid w:val="5D916F3A"/>
    <w:rsid w:val="5DDB01B6"/>
    <w:rsid w:val="5DDB6408"/>
    <w:rsid w:val="5DF66D9E"/>
    <w:rsid w:val="5E0F303A"/>
    <w:rsid w:val="5E3B2A02"/>
    <w:rsid w:val="5E6301AB"/>
    <w:rsid w:val="5E9640DD"/>
    <w:rsid w:val="5EA73B72"/>
    <w:rsid w:val="5EA92062"/>
    <w:rsid w:val="5EDF7832"/>
    <w:rsid w:val="60687CFB"/>
    <w:rsid w:val="60997EB4"/>
    <w:rsid w:val="60C756B9"/>
    <w:rsid w:val="60E94998"/>
    <w:rsid w:val="61006E1E"/>
    <w:rsid w:val="6109328C"/>
    <w:rsid w:val="619E2377"/>
    <w:rsid w:val="61B41449"/>
    <w:rsid w:val="61F23D20"/>
    <w:rsid w:val="6220263B"/>
    <w:rsid w:val="62DF48B4"/>
    <w:rsid w:val="632B74E9"/>
    <w:rsid w:val="638D1F52"/>
    <w:rsid w:val="63A252D2"/>
    <w:rsid w:val="63A8660D"/>
    <w:rsid w:val="64234664"/>
    <w:rsid w:val="64357D9A"/>
    <w:rsid w:val="65075D34"/>
    <w:rsid w:val="65597361"/>
    <w:rsid w:val="655A2308"/>
    <w:rsid w:val="657C1A93"/>
    <w:rsid w:val="658368A3"/>
    <w:rsid w:val="6587531A"/>
    <w:rsid w:val="65CB2A4F"/>
    <w:rsid w:val="662D6C59"/>
    <w:rsid w:val="664B1C51"/>
    <w:rsid w:val="668A4527"/>
    <w:rsid w:val="66E14363"/>
    <w:rsid w:val="670E33AA"/>
    <w:rsid w:val="673619B5"/>
    <w:rsid w:val="67673A79"/>
    <w:rsid w:val="67AC2BC3"/>
    <w:rsid w:val="67C577E1"/>
    <w:rsid w:val="6821534F"/>
    <w:rsid w:val="68B0223F"/>
    <w:rsid w:val="691E364C"/>
    <w:rsid w:val="695A0B28"/>
    <w:rsid w:val="697274F4"/>
    <w:rsid w:val="697D6637"/>
    <w:rsid w:val="6A2F4BBB"/>
    <w:rsid w:val="6A32573B"/>
    <w:rsid w:val="6AB9187F"/>
    <w:rsid w:val="6B0074AE"/>
    <w:rsid w:val="6B5E5F82"/>
    <w:rsid w:val="6BFB7C75"/>
    <w:rsid w:val="6C3F7B62"/>
    <w:rsid w:val="6C603C39"/>
    <w:rsid w:val="6C727F37"/>
    <w:rsid w:val="6C953C26"/>
    <w:rsid w:val="6D033285"/>
    <w:rsid w:val="6D325918"/>
    <w:rsid w:val="6D5A17FF"/>
    <w:rsid w:val="6D5D3323"/>
    <w:rsid w:val="6D604233"/>
    <w:rsid w:val="6E315BD0"/>
    <w:rsid w:val="6E364F94"/>
    <w:rsid w:val="6E510020"/>
    <w:rsid w:val="6F8306AD"/>
    <w:rsid w:val="6FB159BE"/>
    <w:rsid w:val="6FC7565E"/>
    <w:rsid w:val="6FE80510"/>
    <w:rsid w:val="70387B84"/>
    <w:rsid w:val="718D2DE0"/>
    <w:rsid w:val="71B85ED8"/>
    <w:rsid w:val="7288269A"/>
    <w:rsid w:val="729624A5"/>
    <w:rsid w:val="733F0D8F"/>
    <w:rsid w:val="73B61051"/>
    <w:rsid w:val="748A7DE8"/>
    <w:rsid w:val="7634625D"/>
    <w:rsid w:val="763C034C"/>
    <w:rsid w:val="763F3B9B"/>
    <w:rsid w:val="76465F91"/>
    <w:rsid w:val="76D11CFE"/>
    <w:rsid w:val="776808B4"/>
    <w:rsid w:val="77AE0BBC"/>
    <w:rsid w:val="78324A1E"/>
    <w:rsid w:val="78450BF6"/>
    <w:rsid w:val="7872306D"/>
    <w:rsid w:val="78964FAD"/>
    <w:rsid w:val="78F9553C"/>
    <w:rsid w:val="7923184C"/>
    <w:rsid w:val="7953285F"/>
    <w:rsid w:val="79AC6C1F"/>
    <w:rsid w:val="79C773E8"/>
    <w:rsid w:val="7AD20620"/>
    <w:rsid w:val="7B233C2A"/>
    <w:rsid w:val="7B313B11"/>
    <w:rsid w:val="7B38059E"/>
    <w:rsid w:val="7B6A4BAE"/>
    <w:rsid w:val="7BBC14BA"/>
    <w:rsid w:val="7C44267D"/>
    <w:rsid w:val="7C5E6748"/>
    <w:rsid w:val="7C701FB9"/>
    <w:rsid w:val="7CC7607D"/>
    <w:rsid w:val="7D8C2E23"/>
    <w:rsid w:val="7DA97531"/>
    <w:rsid w:val="7E132BFC"/>
    <w:rsid w:val="7EE76E1C"/>
    <w:rsid w:val="7F531548"/>
    <w:rsid w:val="7F8E4C30"/>
  </w:rsids>
  <w:docVars>
    <w:docVar w:name="commondata" w:val="eyJoZGlkIjoiNWExZDFhYTVlMjYxNmI0MWVjMTE4ZDkwYzRiMzE3MTE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semiHidden="0" w:uiPriority="0" w:unhideWhenUsed="0" w:qFormat="1"/>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0" w:unhideWhenUsed="0" w:qFormat="1"/>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paragraph" w:styleId="BodyTextIndent">
    <w:name w:val="Body Text Indent"/>
    <w:basedOn w:val="Normal"/>
    <w:qFormat/>
    <w:pPr>
      <w:adjustRightInd w:val="0"/>
      <w:snapToGrid w:val="0"/>
      <w:spacing w:line="560" w:lineRule="atLeast"/>
      <w:ind w:firstLine="640" w:firstLineChars="200"/>
    </w:pPr>
    <w:rPr>
      <w:kern w:val="0"/>
      <w:szCs w:val="28"/>
    </w:rPr>
  </w:style>
  <w:style w:type="paragraph" w:styleId="Footer">
    <w:name w:val="footer"/>
    <w:basedOn w:val="Normal"/>
    <w:link w:val="Char0"/>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semiHidden/>
    <w:unhideWhenUsed/>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semiHidden/>
    <w:qFormat/>
    <w:rPr>
      <w:sz w:val="18"/>
      <w:szCs w:val="18"/>
    </w:rPr>
  </w:style>
  <w:style w:type="character" w:customStyle="1" w:styleId="Char0">
    <w:name w:val="页脚 Char"/>
    <w:basedOn w:val="DefaultParagraphFont"/>
    <w:link w:val="Footer"/>
    <w:uiPriority w:val="99"/>
    <w:semiHidden/>
    <w:qFormat/>
    <w:rPr>
      <w:sz w:val="18"/>
      <w:szCs w:val="18"/>
    </w:rPr>
  </w:style>
  <w:style w:type="paragraph" w:styleId="NoSpacing">
    <w:name w:val="No Spacing"/>
    <w:uiPriority w:val="1"/>
    <w:qFormat/>
    <w:pPr>
      <w:widowControl w:val="0"/>
      <w:jc w:val="both"/>
    </w:pPr>
    <w:rPr>
      <w:rFonts w:asciiTheme="minorHAnsi" w:eastAsiaTheme="minorEastAsia" w:hAnsiTheme="minorHAnsi" w:cstheme="minorBidi"/>
      <w:kern w:val="2"/>
      <w:sz w:val="21"/>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2</TotalTime>
  <Pages>6</Pages>
  <Words>2323</Words>
  <Characters>2475</Characters>
  <Application>Microsoft Office Word</Application>
  <DocSecurity>0</DocSecurity>
  <Lines>9</Lines>
  <Paragraphs>2</Paragraphs>
  <ScaleCrop>false</ScaleCrop>
  <Company>CHINA</Company>
  <LinksUpToDate>false</LinksUpToDate>
  <CharactersWithSpaces>2475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温华</cp:lastModifiedBy>
  <cp:revision>4</cp:revision>
  <dcterms:created xsi:type="dcterms:W3CDTF">2023-01-03T08:55:00Z</dcterms:created>
  <dcterms:modified xsi:type="dcterms:W3CDTF">2023-12-08T03:15:58Z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76924568A4D5438EB6B3B7AAE765C59B_13</vt:lpwstr>
  </property>
  <property fmtid="{D5CDD505-2E9C-101B-9397-08002B2CF9AE}" pid="3" name="KSOProductBuildVer">
    <vt:lpwstr>2052-11.1.0.14309</vt:lpwstr>
  </property>
</Properties>
</file>