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拨付交管大队办公经费</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局拨付交管大队办公经费</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通过资金的使用，能够做到遏制较大道路交通事故，杜绝重大事故，事故起数和死亡人数下降，增强人民群众文明交通意识、交通管理服务水平、促使交警队伍素质提升，</w:t>
      </w:r>
      <w:r>
        <w:rPr>
          <w:rFonts w:ascii="仿宋_GB2312" w:eastAsia="仿宋_GB2312" w:hAnsi="仿宋_GB2312" w:cs="仿宋_GB2312" w:hint="eastAsia"/>
          <w:b w:val="0"/>
          <w:i w:val="0"/>
          <w:caps w:val="0"/>
          <w:color w:val="auto"/>
          <w:spacing w:val="0"/>
          <w:sz w:val="32"/>
          <w:szCs w:val="32"/>
          <w:shd w:val="clear" w:color="auto" w:fill="FFFFFF"/>
        </w:rPr>
        <w:t>主要职责是全县车辆及驾驶人管理、交通秩序管理、交通违法行为查处、道路交通事故预防与处理、交通安全宣传、交通科技设施管理和维护等工作任务</w:t>
      </w:r>
      <w:r>
        <w:rPr>
          <w:rFonts w:ascii="仿宋" w:eastAsia="仿宋" w:hAnsi="仿宋" w:cs="仿宋" w:hint="eastAsia"/>
          <w:b w:val="0"/>
          <w:bCs/>
          <w:sz w:val="32"/>
          <w:szCs w:val="32"/>
          <w:lang w:eastAsia="zh-CN"/>
        </w:rPr>
        <w:t>。</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拨付交管大队办公经费资</w:t>
      </w:r>
      <w:r>
        <w:rPr>
          <w:rFonts w:ascii="仿宋" w:eastAsia="仿宋" w:hAnsi="仿宋" w:cs="仿宋" w:hint="eastAsia"/>
          <w:sz w:val="32"/>
          <w:szCs w:val="32"/>
          <w:lang w:val="en-US" w:eastAsia="zh-CN"/>
        </w:rPr>
        <w:t>金主要用于办公费等方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2023年度拨付交管大队办公经费工作计划</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严格执行国家和地方关于办公支出管理的法律法规，确保办公支出合规合法，优化办公资源配置，提高办公效率，建立健全办公支出管理制度，规范支出行为，加强监督检查，确保办公支出合规合法，严格控制办公支出，确保资金使用合理、高效。</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二、拨付交管大队办公经费预算执行和管理情况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拨付交管大队办公经费年初预算为271.16万元，截止到2023年11月30日，公安拨付交管大队办公经费支付资金预算已拨付271.16万元，主要用于</w:t>
      </w:r>
      <w:r>
        <w:rPr>
          <w:rFonts w:ascii="仿宋" w:eastAsia="仿宋" w:hAnsi="仿宋" w:cs="仿宋" w:hint="eastAsia"/>
          <w:sz w:val="32"/>
          <w:szCs w:val="32"/>
          <w:lang w:val="en-US" w:eastAsia="zh-CN"/>
        </w:rPr>
        <w:t>办公费</w:t>
      </w:r>
      <w:r>
        <w:rPr>
          <w:rFonts w:ascii="仿宋" w:eastAsia="仿宋" w:hAnsi="仿宋" w:cs="仿宋" w:hint="eastAsia"/>
          <w:i w:val="0"/>
          <w:iCs w:val="0"/>
          <w:caps w:val="0"/>
          <w:color w:val="333333"/>
          <w:spacing w:val="0"/>
          <w:sz w:val="32"/>
          <w:szCs w:val="32"/>
          <w:shd w:val="clear" w:color="auto" w:fill="FFFFFF"/>
          <w:lang w:eastAsia="zh-CN"/>
        </w:rPr>
        <w:t>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拨付交管大队办公经费</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b w:val="0"/>
          <w:bCs w:val="0"/>
          <w:sz w:val="32"/>
          <w:szCs w:val="32"/>
          <w:highlight w:val="none"/>
          <w:lang w:val="en-US" w:eastAsia="zh-CN"/>
        </w:rPr>
        <w:t>271.16</w:t>
      </w:r>
      <w:r>
        <w:rPr>
          <w:rFonts w:ascii="仿宋" w:eastAsia="仿宋" w:hAnsi="仿宋" w:cs="仿宋" w:hint="eastAsia"/>
          <w:sz w:val="32"/>
          <w:szCs w:val="32"/>
          <w:lang w:val="en-US" w:eastAsia="zh-CN"/>
        </w:rPr>
        <w:t>万元已全部拨付到位，并全部按期支出使用</w:t>
      </w:r>
      <w:r>
        <w:rPr>
          <w:rFonts w:ascii="仿宋" w:eastAsia="仿宋" w:hAnsi="仿宋" w:cs="仿宋" w:hint="eastAsia"/>
          <w:b w:val="0"/>
          <w:bCs w:val="0"/>
          <w:sz w:val="32"/>
          <w:szCs w:val="32"/>
          <w:lang w:val="en-US" w:eastAsia="zh-CN"/>
        </w:rPr>
        <w:t>。公安拨付交管大队办公经费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sz w:val="32"/>
          <w:szCs w:val="32"/>
          <w:lang w:val="en-US" w:eastAsia="zh-CN"/>
        </w:rPr>
        <w:t>办公费</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拨付交管大队办公经费项目绩效自评结果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2023年县财政局下达部门预算中拨付交管大队办公经费预算批复数为</w:t>
      </w:r>
      <w:r>
        <w:rPr>
          <w:rFonts w:ascii="仿宋" w:eastAsia="仿宋" w:hAnsi="仿宋" w:cs="仿宋" w:hint="eastAsia"/>
          <w:b w:val="0"/>
          <w:bCs w:val="0"/>
          <w:sz w:val="32"/>
          <w:szCs w:val="32"/>
          <w:highlight w:val="none"/>
          <w:lang w:val="en-US" w:eastAsia="zh-CN"/>
        </w:rPr>
        <w:t>271.16</w:t>
      </w:r>
      <w:r>
        <w:rPr>
          <w:rFonts w:ascii="仿宋" w:eastAsia="仿宋" w:hAnsi="仿宋" w:cs="仿宋" w:hint="eastAsia"/>
          <w:b w:val="0"/>
          <w:bCs w:val="0"/>
          <w:sz w:val="32"/>
          <w:szCs w:val="32"/>
          <w:lang w:val="en-US" w:eastAsia="zh-CN"/>
        </w:rPr>
        <w:t>万元，截止2023年11月30日，该项目的资金到位率为100％，资金及时到位，未影响项目进度。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我局对专项资金使用有专门的管理制度,专款专用,严禁挪用和超范围开支,同时专项经费开支也严格遵照《寿县公安局财务管理办法》(试行)实施。2023年公安拨付交管大队办公经费主要用于</w:t>
      </w:r>
      <w:r>
        <w:rPr>
          <w:rFonts w:ascii="仿宋" w:eastAsia="仿宋" w:hAnsi="仿宋" w:cs="仿宋" w:hint="eastAsia"/>
          <w:sz w:val="32"/>
          <w:szCs w:val="32"/>
          <w:lang w:val="en-US" w:eastAsia="zh-CN"/>
        </w:rPr>
        <w:t>其他商品和服务支出</w:t>
      </w:r>
      <w:r>
        <w:rPr>
          <w:rFonts w:ascii="仿宋" w:eastAsia="仿宋" w:hAnsi="仿宋" w:cs="仿宋" w:hint="eastAsia"/>
          <w:b w:val="0"/>
          <w:bCs w:val="0"/>
          <w:sz w:val="32"/>
          <w:szCs w:val="32"/>
          <w:lang w:val="en-US" w:eastAsia="zh-CN"/>
        </w:rPr>
        <w:t>等方面支出。截止2023年11月30日,该项目经费执行率为100％,无超标准和无超预算开支情况。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公安局拨付交管大队办公经费发布交通安全提示警示信息大于等于一万条，查纠处罚违法行为大于等于十四万次，</w:t>
      </w:r>
      <w:r>
        <w:rPr>
          <w:rFonts w:ascii="仿宋" w:eastAsia="仿宋" w:hAnsi="仿宋" w:cs="仿宋" w:hint="eastAsia"/>
          <w:b w:val="0"/>
          <w:bCs/>
          <w:sz w:val="32"/>
          <w:szCs w:val="32"/>
          <w:lang w:eastAsia="zh-CN"/>
        </w:rPr>
        <w:t>遏制较大道路交通事故，杜绝重大事故，事故起数和死亡人数下降，增强人民群众文明交通意识、交通管理服务水平</w:t>
      </w:r>
      <w:r>
        <w:rPr>
          <w:rFonts w:ascii="仿宋" w:eastAsia="仿宋" w:hAnsi="仿宋" w:cs="仿宋" w:hint="eastAsia"/>
          <w:b w:val="0"/>
          <w:bCs/>
          <w:kern w:val="0"/>
          <w:sz w:val="32"/>
          <w:szCs w:val="32"/>
          <w:lang w:val="en-US" w:eastAsia="zh-CN" w:bidi="ar-SA"/>
        </w:rPr>
        <w:t>。</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w:t>
      </w:r>
      <w:bookmarkStart w:id="0" w:name="_GoBack"/>
      <w:bookmarkEnd w:id="0"/>
      <w:r>
        <w:rPr>
          <w:rFonts w:ascii="仿宋" w:eastAsia="仿宋" w:hAnsi="仿宋" w:cs="仿宋" w:hint="eastAsia"/>
          <w:b/>
          <w:bCs/>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b w:val="0"/>
          <w:bCs w:val="0"/>
          <w:kern w:val="2"/>
          <w:sz w:val="32"/>
          <w:szCs w:val="32"/>
          <w:lang w:val="en-US" w:eastAsia="zh-CN" w:bidi="ar-SA"/>
        </w:rPr>
      </w:pPr>
      <w:r>
        <w:rPr>
          <w:rFonts w:ascii="仿宋_GB2312" w:eastAsia="仿宋_GB2312" w:hAnsi="仿宋_GB2312" w:cs="仿宋_GB2312" w:hint="eastAsia"/>
          <w:b w:val="0"/>
          <w:i w:val="0"/>
          <w:caps w:val="0"/>
          <w:color w:val="auto"/>
          <w:spacing w:val="0"/>
          <w:sz w:val="32"/>
          <w:szCs w:val="32"/>
          <w:shd w:val="clear" w:color="auto" w:fill="FFFFFF"/>
          <w:lang w:val="en-US" w:eastAsia="zh-CN"/>
        </w:rPr>
        <w:t>需</w:t>
      </w:r>
      <w:r>
        <w:rPr>
          <w:rFonts w:ascii="仿宋_GB2312" w:eastAsia="仿宋_GB2312" w:hAnsi="仿宋_GB2312" w:cs="仿宋_GB2312" w:hint="eastAsia"/>
          <w:b w:val="0"/>
          <w:i w:val="0"/>
          <w:caps w:val="0"/>
          <w:color w:val="auto"/>
          <w:spacing w:val="0"/>
          <w:sz w:val="32"/>
          <w:szCs w:val="32"/>
          <w:shd w:val="clear" w:color="auto" w:fill="FFFFFF"/>
        </w:rPr>
        <w:t>加强财务力量，规范财务管理</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绩效目标运行情况需要进一步优化。其中，主要的问题包括绩效管理制度还需健全，流程尚需优化</w:t>
      </w:r>
      <w:r>
        <w:rPr>
          <w:rFonts w:ascii="仿宋_GB2312" w:eastAsia="仿宋_GB2312" w:hAnsi="仿宋_GB2312" w:cs="仿宋_GB2312" w:hint="eastAsia"/>
          <w:b w:val="0"/>
          <w:i w:val="0"/>
          <w:caps w:val="0"/>
          <w:color w:val="auto"/>
          <w:spacing w:val="0"/>
          <w:sz w:val="32"/>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kern w:val="2"/>
          <w:sz w:val="32"/>
          <w:szCs w:val="32"/>
          <w:lang w:val="en-US" w:eastAsia="zh-CN" w:bidi="ar-SA"/>
        </w:rPr>
      </w:pPr>
      <w:r>
        <w:rPr>
          <w:rFonts w:ascii="仿宋_GB2312" w:eastAsia="仿宋_GB2312" w:hAnsi="仿宋_GB2312" w:cs="仿宋_GB2312" w:hint="eastAsia"/>
          <w:b w:val="0"/>
          <w:i w:val="0"/>
          <w:caps w:val="0"/>
          <w:color w:val="auto"/>
          <w:spacing w:val="0"/>
          <w:sz w:val="32"/>
          <w:szCs w:val="32"/>
          <w:shd w:val="clear" w:color="auto" w:fill="FFFFFF"/>
        </w:rPr>
        <w:t>充实财务人员</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加强对财务人员培养。鼓励财务人员参加各种专业培训，熟练掌握财政政策和财经法规，不断提高其专业水平</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健全绩效管理制度，</w:t>
      </w:r>
      <w:r>
        <w:rPr>
          <w:rFonts w:ascii="仿宋_GB2312" w:eastAsia="仿宋_GB2312" w:hAnsi="仿宋_GB2312" w:cs="仿宋_GB2312" w:hint="eastAsia"/>
          <w:b w:val="0"/>
          <w:i w:val="0"/>
          <w:caps w:val="0"/>
          <w:color w:val="auto"/>
          <w:spacing w:val="0"/>
          <w:sz w:val="32"/>
          <w:szCs w:val="32"/>
          <w:shd w:val="clear" w:color="auto" w:fill="FFFFFF"/>
          <w:lang w:val="en-US" w:eastAsia="zh-CN"/>
        </w:rPr>
        <w:t>优化流程</w:t>
      </w:r>
      <w:r>
        <w:rPr>
          <w:rFonts w:ascii="仿宋" w:eastAsia="仿宋" w:hAnsi="仿宋" w:cs="仿宋" w:hint="eastAsia"/>
          <w:b w:val="0"/>
          <w:bCs w:val="0"/>
          <w:kern w:val="2"/>
          <w:sz w:val="32"/>
          <w:szCs w:val="32"/>
          <w:lang w:val="en-US" w:eastAsia="zh-CN" w:bidi="ar-SA"/>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1C32AD"/>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0FE424D3"/>
    <w:rsid w:val="101813A4"/>
    <w:rsid w:val="10956862"/>
    <w:rsid w:val="10BE10ED"/>
    <w:rsid w:val="10C009C2"/>
    <w:rsid w:val="110B6933"/>
    <w:rsid w:val="111B6540"/>
    <w:rsid w:val="1124113D"/>
    <w:rsid w:val="122B4561"/>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3425AF"/>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DB207C"/>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5D3323"/>
    <w:rsid w:val="6D604233"/>
    <w:rsid w:val="6E315BD0"/>
    <w:rsid w:val="6E364F94"/>
    <w:rsid w:val="6E510020"/>
    <w:rsid w:val="6F8306AD"/>
    <w:rsid w:val="6FB159BE"/>
    <w:rsid w:val="6FC7565E"/>
    <w:rsid w:val="6FE80510"/>
    <w:rsid w:val="70387B84"/>
    <w:rsid w:val="70D36A64"/>
    <w:rsid w:val="718D2DE0"/>
    <w:rsid w:val="71B85ED8"/>
    <w:rsid w:val="7288269A"/>
    <w:rsid w:val="729624A5"/>
    <w:rsid w:val="733F0D8F"/>
    <w:rsid w:val="73B61051"/>
    <w:rsid w:val="748A7DE8"/>
    <w:rsid w:val="7634625D"/>
    <w:rsid w:val="763C034C"/>
    <w:rsid w:val="763F3B9B"/>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TotalTime>
  <Pages>6</Pages>
  <Words>2327</Words>
  <Characters>2478</Characters>
  <Application>Microsoft Office Word</Application>
  <DocSecurity>0</DocSecurity>
  <Lines>9</Lines>
  <Paragraphs>2</Paragraphs>
  <ScaleCrop>false</ScaleCrop>
  <Company>CHINA</Company>
  <LinksUpToDate>false</LinksUpToDate>
  <CharactersWithSpaces>2478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2023-12-08T03:17:48Z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3F9869BED6B048BA86E88FCB14E0C089_13</vt:lpwstr>
  </property>
  <property fmtid="{D5CDD505-2E9C-101B-9397-08002B2CF9AE}" pid="3" name="KSOProductBuildVer">
    <vt:lpwstr>2052-11.1.0.14309</vt:lpwstr>
  </property>
</Properties>
</file>