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lang w:val="en-US" w:eastAsia="zh-CN"/>
        </w:rPr>
        <w:t>2024</w:t>
      </w:r>
      <w:r>
        <w:rPr>
          <w:rFonts w:ascii="Times New Roman" w:hAnsi="Times New Roman" w:eastAsia="方正小标宋简体" w:cs="Times New Roman"/>
          <w:bCs/>
          <w:sz w:val="44"/>
          <w:szCs w:val="44"/>
        </w:rPr>
        <w:t>年度项目</w:t>
      </w:r>
      <w:r>
        <w:rPr>
          <w:rFonts w:hint="eastAsia" w:ascii="Times New Roman" w:hAnsi="Times New Roman" w:eastAsia="方正小标宋简体" w:cs="Times New Roman"/>
          <w:bCs/>
          <w:sz w:val="44"/>
          <w:szCs w:val="44"/>
          <w:lang w:eastAsia="zh-CN"/>
        </w:rPr>
        <w:t>支出</w:t>
      </w:r>
      <w:r>
        <w:rPr>
          <w:rFonts w:ascii="Times New Roman" w:hAnsi="Times New Roman" w:eastAsia="方正小标宋简体" w:cs="Times New Roman"/>
          <w:bCs/>
          <w:sz w:val="44"/>
          <w:szCs w:val="44"/>
        </w:rPr>
        <w:t>事前绩效评估报告</w:t>
      </w: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 xml:space="preserve">     </w:t>
      </w: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spacing w:line="420" w:lineRule="auto"/>
        <w:ind w:left="482"/>
        <w:rPr>
          <w:rFonts w:ascii="Times New Roman" w:hAnsi="Times New Roman" w:eastAsia="仿宋_GB2312" w:cs="Times New Roman"/>
          <w:sz w:val="28"/>
          <w:szCs w:val="28"/>
          <w:u w:val="single"/>
        </w:rPr>
      </w:pPr>
      <w:r>
        <w:rPr>
          <w:rFonts w:ascii="Times New Roman" w:hAnsi="Times New Roman" w:eastAsia="仿宋_GB2312" w:cs="Times New Roman"/>
          <w:sz w:val="32"/>
          <w:szCs w:val="32"/>
        </w:rPr>
        <w:t>项目名称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28"/>
          <w:szCs w:val="28"/>
          <w:u w:val="single"/>
        </w:rPr>
        <w:t>农村生活垃圾治理PPP</w:t>
      </w:r>
      <w:r>
        <w:rPr>
          <w:rFonts w:hint="eastAsia" w:ascii="Times New Roman" w:hAnsi="Times New Roman" w:eastAsia="仿宋_GB2312" w:cs="Times New Roman"/>
          <w:sz w:val="28"/>
          <w:szCs w:val="28"/>
          <w:u w:val="single"/>
          <w:lang w:eastAsia="zh-CN"/>
        </w:rPr>
        <w:t>项目中期评估及年度绩效评价费</w:t>
      </w:r>
      <w:r>
        <w:rPr>
          <w:rFonts w:ascii="Times New Roman" w:hAnsi="Times New Roman" w:eastAsia="仿宋_GB2312" w:cs="Times New Roman"/>
          <w:sz w:val="28"/>
          <w:szCs w:val="28"/>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eastAsia="zh-CN"/>
        </w:rPr>
        <w:t>淮南市中六投环保科技有限公司</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主管部门：</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寿县城市管理行政执法局</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2"/>
          <w:szCs w:val="32"/>
          <w:u w:val="single"/>
          <w:lang w:eastAsia="zh-CN"/>
        </w:rPr>
        <w:t>寿县城市管理行政执法局</w:t>
      </w:r>
      <w:r>
        <w:rPr>
          <w:rFonts w:hint="eastAsia" w:ascii="Times New Roman" w:hAnsi="Times New Roman" w:eastAsia="仿宋_GB2312" w:cs="Times New Roman"/>
          <w:sz w:val="30"/>
          <w:szCs w:val="30"/>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ind w:left="482"/>
        <w:rPr>
          <w:rFonts w:ascii="Times New Roman" w:hAnsi="Times New Roman" w:eastAsia="宋体" w:cs="Times New Roman"/>
          <w:b/>
          <w:bCs/>
          <w:sz w:val="36"/>
          <w:szCs w:val="32"/>
        </w:rPr>
      </w:pPr>
      <w:r>
        <w:rPr>
          <w:rFonts w:ascii="Times New Roman" w:hAnsi="Times New Roman" w:eastAsia="仿宋_GB2312" w:cs="Times New Roman"/>
          <w:sz w:val="32"/>
          <w:szCs w:val="32"/>
        </w:rPr>
        <w:t>评估时间：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2023.9.25</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rPr>
          <w:rFonts w:ascii="Times New Roman" w:hAnsi="Times New Roman" w:eastAsia="方正小标宋简体" w:cs="Times New Roman"/>
          <w:sz w:val="30"/>
          <w:szCs w:val="30"/>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ind w:firstLine="482"/>
        <w:rPr>
          <w:rFonts w:ascii="Times New Roman" w:hAnsi="Times New Roman" w:eastAsia="黑体" w:cs="Times New Roman"/>
          <w:sz w:val="32"/>
          <w:szCs w:val="32"/>
        </w:rPr>
      </w:pPr>
    </w:p>
    <w:p>
      <w:pPr>
        <w:spacing w:line="560" w:lineRule="exact"/>
        <w:ind w:firstLine="482"/>
        <w:rPr>
          <w:rFonts w:ascii="Times New Roman" w:hAnsi="Times New Roman" w:eastAsia="黑体" w:cs="Times New Roman"/>
          <w:sz w:val="32"/>
          <w:szCs w:val="32"/>
        </w:rPr>
      </w:pPr>
      <w:bookmarkStart w:id="1" w:name="_GoBack"/>
      <w:bookmarkEnd w:id="1"/>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一、评估对象</w:t>
      </w:r>
    </w:p>
    <w:p>
      <w:pPr>
        <w:spacing w:line="560" w:lineRule="exact"/>
        <w:ind w:left="638" w:leftChars="304" w:firstLine="0" w:firstLineChars="0"/>
        <w:rPr>
          <w:rFonts w:hint="eastAsia" w:ascii="Times New Roman" w:hAnsi="Times New Roman" w:eastAsia="仿宋_GB2312" w:cs="Times New Roman"/>
          <w:sz w:val="28"/>
          <w:szCs w:val="28"/>
          <w:u w:val="none"/>
          <w:lang w:eastAsia="zh-CN"/>
        </w:rPr>
      </w:pPr>
      <w:r>
        <w:rPr>
          <w:rFonts w:ascii="Times New Roman" w:hAnsi="Times New Roman" w:eastAsia="仿宋_GB2312" w:cs="Times New Roman"/>
          <w:sz w:val="32"/>
          <w:szCs w:val="32"/>
        </w:rPr>
        <w:t>项目政策名称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28"/>
          <w:szCs w:val="28"/>
          <w:u w:val="none"/>
        </w:rPr>
        <w:t>农村生活垃圾治理PPP</w:t>
      </w:r>
      <w:r>
        <w:rPr>
          <w:rFonts w:hint="eastAsia" w:ascii="Times New Roman" w:hAnsi="Times New Roman" w:eastAsia="仿宋_GB2312" w:cs="Times New Roman"/>
          <w:sz w:val="28"/>
          <w:szCs w:val="28"/>
          <w:u w:val="none"/>
          <w:lang w:eastAsia="zh-CN"/>
        </w:rPr>
        <w:t>项目中期评估及年度绩效评价费</w:t>
      </w:r>
    </w:p>
    <w:p>
      <w:pPr>
        <w:spacing w:line="560" w:lineRule="exact"/>
        <w:ind w:left="638" w:leftChars="304" w:firstLine="0" w:firstLineChars="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lang w:eastAsia="zh-CN"/>
        </w:rPr>
        <w:t>淮南市中六投环保科技有限公司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寿县城市管理行政执法局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项目属性（新增／延续）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延续</w:t>
      </w:r>
    </w:p>
    <w:p>
      <w:pPr>
        <w:spacing w:line="560" w:lineRule="exact"/>
        <w:ind w:firstLine="640" w:firstLineChars="200"/>
        <w:rPr>
          <w:rFonts w:hint="eastAsia" w:ascii="Times New Roman" w:hAnsi="Times New Roman" w:eastAsia="仿宋_GB2312" w:cs="Times New Roman"/>
          <w:color w:val="0000FF"/>
          <w:sz w:val="32"/>
          <w:szCs w:val="32"/>
          <w:lang w:eastAsia="zh-CN"/>
        </w:rPr>
      </w:pPr>
      <w:r>
        <w:rPr>
          <w:rFonts w:ascii="Times New Roman" w:hAnsi="Times New Roman" w:eastAsia="仿宋_GB2312" w:cs="Times New Roman"/>
          <w:sz w:val="32"/>
          <w:szCs w:val="32"/>
        </w:rPr>
        <w:t>项目政策绩效目标：</w:t>
      </w:r>
      <w:r>
        <w:rPr>
          <w:rFonts w:hint="eastAsia" w:ascii="仿宋_GB2312" w:hAnsi="仿宋_GB2312" w:eastAsia="仿宋_GB2312" w:cs="仿宋_GB2312"/>
          <w:sz w:val="32"/>
          <w:szCs w:val="32"/>
        </w:rPr>
        <w:t>进一步改善寿县农村的居住环境，净化寿县农村环境，实现生态环境的可持续发展，促进生态、经济和社会效益的统一。</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申请资金总额：</w:t>
      </w:r>
      <w:r>
        <w:rPr>
          <w:rFonts w:hint="eastAsia" w:ascii="Times New Roman" w:hAnsi="Times New Roman" w:eastAsia="仿宋_GB2312" w:cs="Times New Roman"/>
          <w:sz w:val="32"/>
          <w:szCs w:val="32"/>
          <w:lang w:val="en-US" w:eastAsia="zh-CN"/>
        </w:rPr>
        <w:t>60万元</w:t>
      </w:r>
      <w:r>
        <w:rPr>
          <w:rFonts w:ascii="Times New Roman" w:hAnsi="Times New Roman" w:eastAsia="仿宋_GB2312" w:cs="Times New Roman"/>
          <w:sz w:val="32"/>
          <w:szCs w:val="32"/>
        </w:rPr>
        <w:t xml:space="preserve">  其中申请财政资金：</w:t>
      </w:r>
      <w:r>
        <w:rPr>
          <w:rFonts w:hint="eastAsia" w:ascii="Times New Roman" w:hAnsi="Times New Roman" w:eastAsia="仿宋_GB2312" w:cs="Times New Roman"/>
          <w:sz w:val="32"/>
          <w:szCs w:val="32"/>
          <w:lang w:val="en-US" w:eastAsia="zh-CN"/>
        </w:rPr>
        <w:t>60万元</w:t>
      </w:r>
    </w:p>
    <w:p>
      <w:pPr>
        <w:tabs>
          <w:tab w:val="left" w:pos="420"/>
        </w:tabs>
        <w:spacing w:line="560" w:lineRule="exact"/>
        <w:ind w:firstLine="640" w:firstLineChars="200"/>
        <w:rPr>
          <w:rFonts w:ascii="Times New Roman" w:hAnsi="Times New Roman" w:eastAsia="仿宋_GB2312" w:cs="Times New Roman"/>
          <w:b/>
          <w:color w:val="0000FF"/>
          <w:sz w:val="32"/>
          <w:szCs w:val="32"/>
        </w:rPr>
      </w:pPr>
      <w:r>
        <w:rPr>
          <w:rFonts w:ascii="Times New Roman" w:hAnsi="Times New Roman" w:eastAsia="仿宋_GB2312" w:cs="Times New Roman"/>
          <w:sz w:val="32"/>
          <w:szCs w:val="32"/>
        </w:rPr>
        <w:t>项目政策概况：</w:t>
      </w:r>
      <w:r>
        <w:rPr>
          <w:rFonts w:hint="eastAsia" w:ascii="仿宋_GB2312" w:hAnsi="仿宋_GB2312" w:eastAsia="仿宋_GB2312" w:cs="仿宋_GB2312"/>
          <w:sz w:val="32"/>
          <w:szCs w:val="32"/>
        </w:rPr>
        <w:t>为加强寿县城乡环境卫生设施建设及运营管理，多渠道争取资金，提高项目工程建设和维护效率，寿县政府按照相关法律、法规、标准和规范的要求，决定采用PPP的模式实施寿县县域农村生活垃圾治理。PPP项目</w:t>
      </w:r>
      <w:bookmarkStart w:id="0" w:name="bookmark5"/>
      <w:r>
        <w:rPr>
          <w:rFonts w:hint="eastAsia" w:ascii="仿宋_GB2312" w:hAnsi="仿宋_GB2312" w:eastAsia="仿宋_GB2312" w:cs="仿宋_GB2312"/>
          <w:sz w:val="32"/>
          <w:szCs w:val="32"/>
        </w:rPr>
        <w:t>公司</w:t>
      </w:r>
      <w:bookmarkEnd w:id="0"/>
      <w:r>
        <w:rPr>
          <w:rFonts w:hint="eastAsia" w:ascii="仿宋_GB2312" w:hAnsi="仿宋_GB2312" w:eastAsia="仿宋_GB2312" w:cs="仿宋_GB2312"/>
          <w:sz w:val="32"/>
          <w:szCs w:val="32"/>
        </w:rPr>
        <w:t>进行寿县县域农村生活垃圾治理工程项目（PPP项目）的投资、融资、设计、建设、运营和维护，自行承担风险、享受相应利益，并在特许经营期满后无偿将寿县县域农村生活垃圾治理工程项目（PPP项目）完好地移交给甲方或其指定部门或机构。本项目政府付费主要有可用性服务费、运营绩效服务费。</w:t>
      </w:r>
    </w:p>
    <w:p>
      <w:pPr>
        <w:spacing w:line="560" w:lineRule="exact"/>
        <w:ind w:firstLine="482"/>
        <w:rPr>
          <w:rFonts w:ascii="Times New Roman" w:hAnsi="Times New Roman" w:eastAsia="黑体" w:cs="Times New Roman"/>
          <w:bCs/>
          <w:sz w:val="32"/>
          <w:szCs w:val="32"/>
        </w:rPr>
      </w:pPr>
      <w:r>
        <w:rPr>
          <w:rFonts w:ascii="Times New Roman" w:hAnsi="Times New Roman" w:eastAsia="黑体" w:cs="Times New Roman"/>
          <w:bCs/>
          <w:sz w:val="32"/>
          <w:szCs w:val="32"/>
        </w:rPr>
        <w:t>二、评估方式和方法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（一）评估程序</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在收集审核项目资料基础上，到项目现场进行调研。通过查阅资料、实地勘察、了解项目具体内容、项目实施的具体做法、依据等现场评议。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（二）论证思路及方法</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本次事前绩效评估主要针对项目的相关性、项目绩效的可实现性、项目实施方案的有效性、项目预期绩效的可持续性、财政资金投入的可行性及风险等五方面进行综合评估、分析与论证。</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评估方式</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本次事前绩效评估遵循全面考虑、重点突出的原则，主要采用资料分析、集中座谈的评估方式，对项目的相关性、可行性、持续性等方面进行全面评估。</w:t>
      </w:r>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三、评估内容与结论</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（一）立项必要性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 主要的立项依据。</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2015年3月18日，安徽省住房和城乡建设厅会同安徽省环境保护厅及安徽省农业委员会联合发文《安徽省农村生活垃圾3年治理行动方案》、《安徽省农村生活垃圾治理验收标准（试行）》和《安徽省农村生活垃圾治理验收办法（试行）》，为进一步推进美好乡村建设，改善农村人居环境，决定在全省开展农村生活垃圾3年治理专项行动，力争到2017年底全省农村生活垃圾得到有效收集和处理。</w:t>
      </w:r>
    </w:p>
    <w:p>
      <w:pPr>
        <w:numPr>
          <w:ilvl w:val="0"/>
          <w:numId w:val="1"/>
        </w:numPr>
        <w:spacing w:line="560" w:lineRule="exact"/>
        <w:ind w:left="480" w:leftChars="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政策和项目的现实需求。</w:t>
      </w:r>
    </w:p>
    <w:p>
      <w:pPr>
        <w:numPr>
          <w:ilvl w:val="0"/>
          <w:numId w:val="0"/>
        </w:numPr>
        <w:spacing w:line="560" w:lineRule="exact"/>
        <w:ind w:left="480" w:left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项目具有现实需求，且需求迫切。</w:t>
      </w:r>
    </w:p>
    <w:p>
      <w:pPr>
        <w:numPr>
          <w:ilvl w:val="0"/>
          <w:numId w:val="1"/>
        </w:numPr>
        <w:spacing w:line="560" w:lineRule="exact"/>
        <w:ind w:left="480" w:leftChars="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是否有确定的服务对象或受益对象。</w:t>
      </w:r>
    </w:p>
    <w:p>
      <w:pPr>
        <w:numPr>
          <w:ilvl w:val="0"/>
          <w:numId w:val="0"/>
        </w:numPr>
        <w:spacing w:line="560" w:lineRule="exact"/>
        <w:ind w:left="480" w:left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项目绩效目标明确，受益群体为全县居民。</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（二）绩效目标合理性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绩效目标</w:t>
      </w:r>
      <w:r>
        <w:rPr>
          <w:rFonts w:ascii="Times New Roman" w:hAnsi="Times New Roman" w:eastAsia="仿宋_GB2312" w:cs="Times New Roman"/>
          <w:sz w:val="32"/>
          <w:szCs w:val="32"/>
        </w:rPr>
        <w:t>与部门长期规划、年度工作目标一致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与申报预算的资金量相匹配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具有一定的前瞻性和挑战性。绩效指标</w:t>
      </w:r>
      <w:r>
        <w:rPr>
          <w:rFonts w:hint="eastAsia" w:ascii="Times New Roman" w:hAnsi="Times New Roman" w:eastAsia="仿宋_GB2312" w:cs="Times New Roman"/>
          <w:sz w:val="32"/>
          <w:szCs w:val="32"/>
          <w:lang w:eastAsia="zh-CN"/>
        </w:rPr>
        <w:t>较为</w:t>
      </w:r>
      <w:r>
        <w:rPr>
          <w:rFonts w:ascii="Times New Roman" w:hAnsi="Times New Roman" w:eastAsia="仿宋_GB2312" w:cs="Times New Roman"/>
          <w:sz w:val="32"/>
          <w:szCs w:val="32"/>
        </w:rPr>
        <w:t>细化、量化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指标值合理、可考核。</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）实施方案可行性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项目有具体的实施细则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有关基础设施条件能够有效保障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有明确的责任主体和责任人。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）筹资合规性</w:t>
      </w:r>
    </w:p>
    <w:p>
      <w:pPr>
        <w:spacing w:line="56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县财政能够完全保障项目实施所需经费。</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总体结论</w:t>
      </w:r>
      <w:r>
        <w:rPr>
          <w:rFonts w:hint="eastAsia" w:ascii="Times New Roman" w:hAnsi="Times New Roman" w:eastAsia="仿宋_GB2312" w:cs="Times New Roman"/>
          <w:sz w:val="32"/>
          <w:szCs w:val="32"/>
          <w:lang w:val="en-US" w:eastAsia="zh-CN"/>
        </w:rPr>
        <w:t xml:space="preserve"> </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项目相关性显著，绩效可实现性较强，实施方案基本有效，预期绩效具有可持续性，且财政资金投入风险基本可控。</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评估相关建议</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淮南市中六投环保科技有限公司自2018年3月开展农村生活垃圾治理以来，全县农村生活垃圾实现了统一清扫、统一保洁、统一收集、统一转运环卫作业全覆盖。</w:t>
      </w:r>
      <w:r>
        <w:rPr>
          <w:rFonts w:hint="eastAsia" w:ascii="仿宋" w:hAnsi="仿宋" w:eastAsia="仿宋"/>
          <w:color w:val="000000"/>
          <w:sz w:val="32"/>
          <w:szCs w:val="32"/>
          <w:shd w:val="clear" w:color="auto" w:fill="FFFFFF"/>
        </w:rPr>
        <w:t>全面落实乡镇属地负责制。</w:t>
      </w:r>
    </w:p>
    <w:p>
      <w:pPr>
        <w:numPr>
          <w:ilvl w:val="0"/>
          <w:numId w:val="2"/>
        </w:numPr>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六、评估人员签字</w:t>
      </w: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ind w:firstLine="640" w:firstLineChars="200"/>
        <w:rPr>
          <w:rFonts w:ascii="Times New Roman" w:hAnsi="方正小标宋简体" w:eastAsia="方正小标宋简体" w:cs="Times New Roman"/>
          <w:sz w:val="42"/>
          <w:szCs w:val="4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eastAsia="zh-CN"/>
        </w:rPr>
        <w:t>：</w:t>
      </w:r>
      <w:r>
        <w:rPr>
          <w:rFonts w:hint="eastAsia" w:ascii="Times New Roman" w:hAnsi="Times New Roman" w:eastAsia="仿宋_GB2312" w:cs="Times New Roman"/>
          <w:sz w:val="32"/>
          <w:szCs w:val="32"/>
          <w:lang w:val="en-US" w:eastAsia="zh-CN"/>
        </w:rPr>
        <w:t>寿县县域农村生活垃圾治理工程项目（PPP）项目合同</w:t>
      </w:r>
    </w:p>
    <w:p>
      <w:pPr>
        <w:spacing w:line="500" w:lineRule="exact"/>
        <w:rPr>
          <w:rFonts w:ascii="Times New Roman" w:hAnsi="Times New Roman" w:eastAsia="黑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3810E"/>
    <w:multiLevelType w:val="singleLevel"/>
    <w:tmpl w:val="E303810E"/>
    <w:lvl w:ilvl="0" w:tentative="0">
      <w:start w:val="2"/>
      <w:numFmt w:val="decimal"/>
      <w:suff w:val="space"/>
      <w:lvlText w:val="%1."/>
      <w:lvlJc w:val="left"/>
      <w:pPr>
        <w:ind w:left="480" w:leftChars="0" w:firstLine="0" w:firstLineChars="0"/>
      </w:pPr>
    </w:lvl>
  </w:abstractNum>
  <w:abstractNum w:abstractNumId="1">
    <w:nsid w:val="07887A34"/>
    <w:multiLevelType w:val="singleLevel"/>
    <w:tmpl w:val="07887A3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jA5MTZjMDQ4NGFiZmQ2ZTllNWI0OWQwZWMzYzIifQ=="/>
  </w:docVars>
  <w:rsids>
    <w:rsidRoot w:val="00000000"/>
    <w:rsid w:val="113A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Ltkj100</dc:creator>
  <cp:lastModifiedBy>Ltkj100</cp:lastModifiedBy>
  <dcterms:modified xsi:type="dcterms:W3CDTF">2023-12-07T01:27:23Z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D4B377763316458FAE2BDDAECDC0E68E_12</vt:lpwstr>
  </property>
</Properties>
</file>