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日对2024年预算农村生活垃圾治理PPP项目中期评估及年度绩效评价费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none"/>
          <w:shd w:val="clear" w:color="auto" w:fill="FFFFFF"/>
        </w:rPr>
        <w:t>项目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hint="eastAsia" w:ascii="楷体_GB2312" w:hAnsi="楷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该项目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农村生活垃圾治理PPP项目中期评估及年度绩效评价费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highlight w:val="none"/>
          <w:shd w:val="clear" w:color="auto" w:fill="FFFFFF"/>
          <w:lang w:eastAsia="zh-CN"/>
        </w:rPr>
        <w:t>该项目根据县域农村生活垃圾治</w:t>
      </w:r>
      <w:r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理PPP项目合同约定而设立，针对PPP项目公司的中期评估及年度运营绩效进行考核，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</w:rPr>
        <w:t>项目建设</w:t>
      </w:r>
      <w:r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  <w:lang w:eastAsia="zh-CN"/>
        </w:rPr>
        <w:t>具有</w:t>
      </w:r>
      <w:r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</w:rPr>
        <w:t>的必要性和依据性，项目绩效目标明确、细化</w:t>
      </w:r>
      <w:r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</w:rPr>
        <w:t>可操作，并达到社会平均先进水平</w:t>
      </w:r>
      <w:r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</w:rPr>
        <w:t>满足“先进适用、经济效益”原则，其投资与绩效相匹配</w:t>
      </w:r>
      <w:r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，预算编制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较为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科学、完整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旨在为项目评审投资额的确定做好铺垫。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万元，评审审定预算建议数为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</w:t>
      </w:r>
    </w:p>
    <w:p>
      <w:pPr>
        <w:jc w:val="left"/>
        <w:rPr>
          <w:rFonts w:ascii="仿宋_GB2312" w:hAnsi="楷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MWUxZjU4YjI3M2YzZTYyNGJjZDY3MmFkMGQ1ZmY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0CCF368A"/>
    <w:rsid w:val="1AB53DF3"/>
    <w:rsid w:val="36454501"/>
    <w:rsid w:val="478D7384"/>
    <w:rsid w:val="4A117681"/>
    <w:rsid w:val="4F6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543</Characters>
  <Lines>4</Lines>
  <Paragraphs>1</Paragraphs>
  <TotalTime>2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dell</cp:lastModifiedBy>
  <dcterms:modified xsi:type="dcterms:W3CDTF">2023-10-08T22:05:08Z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73A3995EBAA644EC8A1225DDED8BDD0D_12</vt:lpwstr>
  </property>
</Properties>
</file>