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关于落实《寿县重点场所安全消防安全</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专项整治工作方案》的通知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各市场监管所、相关股室：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为贯彻落实寿县安全生产委员会、寿县消防安全生产委员会《</w:t>
      </w:r>
      <w:r>
        <w:rPr>
          <w:rFonts w:hint="eastAsia" w:ascii="仿宋_GB2312" w:hAnsi="仿宋_GB2312" w:eastAsia="仿宋_GB2312" w:cs="仿宋_GB2312"/>
          <w:lang w:eastAsia="zh-CN"/>
        </w:rPr>
        <w:t>关于印发寿县重点场所安全消防安全专项整治工作方案的通知》（寿消安委〔</w:t>
      </w:r>
      <w:r>
        <w:rPr>
          <w:rFonts w:hint="eastAsia" w:ascii="仿宋_GB2312" w:hAnsi="仿宋_GB2312" w:eastAsia="仿宋_GB2312" w:cs="仿宋_GB2312"/>
          <w:lang w:val="en-US" w:eastAsia="zh-CN"/>
        </w:rPr>
        <w:t>2023</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1号</w:t>
      </w:r>
      <w:r>
        <w:rPr>
          <w:rFonts w:hint="eastAsia" w:ascii="仿宋_GB2312" w:hAnsi="仿宋_GB2312" w:eastAsia="仿宋_GB2312" w:cs="仿宋_GB2312"/>
          <w:lang w:eastAsia="zh-CN"/>
        </w:rPr>
        <w:t>）文件精神，就寿县重点场所安全消防安全专项整治工作涉及我局证照监管职责通知如下，请各市场监管所、相关股室落实。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一、整治工作目标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力争通过6个月专项整治，排查全县用于生产、经营、仓储等经营性厂房仓库、大型综合体、自建房等重点经营场所证、照及登记事项的实际情况，治理无证无照经营、登记事项与实际不符的违法行为。坚持闭环管理、动态整改、及时清零，通过对涉及我局职责的证、照及登记事项监管，规范市场主体资格及经营秩序，防范含火灾在内的各类安全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leftChars="0" w:firstLine="320" w:firstLineChars="1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二、整治范围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全县范围内用于从事从事生产、经营、仓储等经营活动的各类厂房仓库、2万平方米以上的大型综合体和生产、经营、仓储的自建房。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leftChars="0" w:firstLine="320" w:firstLineChars="1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三、整治的重点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（一）加强对我局职责内的证、照情况的监管</w:t>
      </w:r>
      <w:r>
        <w:rPr>
          <w:rFonts w:hint="eastAsia" w:ascii="仿宋_GB2312" w:hAnsi="仿宋_GB2312" w:eastAsia="仿宋_GB2312" w:cs="仿宋_GB2312"/>
          <w:lang w:val="en-US" w:eastAsia="zh-CN"/>
        </w:rPr>
        <w:t>。排查是否存在无证经营或无照经营，依法查处无证经营、无照经营行为。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（二）加强对登记事项的监督检查。</w:t>
      </w:r>
      <w:r>
        <w:rPr>
          <w:rFonts w:hint="eastAsia" w:ascii="仿宋_GB2312" w:hAnsi="仿宋_GB2312" w:eastAsia="仿宋_GB2312" w:cs="仿宋_GB2312"/>
          <w:lang w:val="en-US" w:eastAsia="zh-CN"/>
        </w:rPr>
        <w:t>把市场主体的住所（经营场所）是否符合实际一致、登记的住所（经营场所）是否属于淮南市市场主体住所（经营场所）登记负面清单所列的类别，实行承诺制办理的证照承诺事项是否与实际一致做为排查和监管的重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（三）加强对重点场所、重点行业的监管。</w:t>
      </w:r>
      <w:r>
        <w:rPr>
          <w:rFonts w:hint="eastAsia" w:ascii="仿宋_GB2312" w:hAnsi="仿宋_GB2312" w:eastAsia="仿宋_GB2312" w:cs="仿宋_GB2312"/>
          <w:lang w:val="en-US" w:eastAsia="zh-CN"/>
        </w:rPr>
        <w:t>把“三合一”经营场所、经营性自建房、饭店宾馆、大型商超、市场、园区、各类从事生产、仓储、加工、经营易燃易爆产品场所、用工密集生产经营场所及各类娱乐行业、培训机构、废品收购行业、住宿行业的证照及登记事项的检查做为排查及监管的重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（四）结合实际加强对辖区监管盲区的梳理，确保不留监管死角。</w:t>
      </w:r>
      <w:r>
        <w:rPr>
          <w:rFonts w:hint="eastAsia" w:ascii="仿宋_GB2312" w:hAnsi="仿宋_GB2312" w:eastAsia="仿宋_GB2312" w:cs="仿宋_GB2312"/>
          <w:lang w:val="en-US" w:eastAsia="zh-CN"/>
        </w:rPr>
        <w:t>各所要结合本所的实际，加强对辖区内监管盲区的梳理，强化对废弃厂房、学校、仓库、新建小区及周边等的检查，不留监管死角，防止出现无证无照经营现象；加强对各类住宅小区、商住楼的检查，查处违规使用住宅从事经营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四、整治时间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集中整治阶段（2023年3月15日至2023年9月25日）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巩固提升阶段（2023年9月26日至2023年9月30日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五、工作要求</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（一）提高认识 精心组织。</w:t>
      </w:r>
      <w:r>
        <w:rPr>
          <w:rFonts w:hint="eastAsia" w:ascii="仿宋_GB2312" w:hAnsi="仿宋_GB2312" w:eastAsia="仿宋_GB2312" w:cs="仿宋_GB2312"/>
          <w:lang w:val="en-US" w:eastAsia="zh-CN"/>
        </w:rPr>
        <w:t>各所要提高对证、照及登记事项的监管认识，对证、照及登记事项的监管是规范市场主体资格及经营行为的基本要求，是加强事前事中事后监管的重要内容。各市场监管所要组织力量进行集中排查，做好分工划片，压实排查责任。结合“网格化+智慧化+信用化”工作，进一步压实网格监管员日常监管责任。建立排查台账，对存在的问题，采取的措施，排查人员、整改结果进行详细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各涉证监管的股室，要对无证经营的排查加以具体布置、指导，各涉证监管的股室，要按照国务院“先照后证”改革加强事中事后监管的文件精神，加强对已办理了营业执照经营范围中涉及我局后置许可（备案）而尚未取得我局相关许可证（备案）的市场主体的监管，坚决破除只管已发了许可证的市场主体，不管无证的现象，确保不出现无证经营监管的盲区。</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（二)以问题为导向 推进整改。</w:t>
      </w:r>
      <w:r>
        <w:rPr>
          <w:rFonts w:hint="eastAsia" w:ascii="仿宋_GB2312" w:hAnsi="仿宋_GB2312" w:eastAsia="仿宋_GB2312" w:cs="仿宋_GB2312"/>
          <w:lang w:val="en-US" w:eastAsia="zh-CN"/>
        </w:rPr>
        <w:t xml:space="preserve">各所对排查出来的问题，要分类建立台账。对能立行立改的，要马上引导、督促整改。对经引导、督促不整改的，要依法加大处罚的力度。  </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排查中发现的不属于我局职责的无证经营要立即抄告相关部门。对履职中发现的安全隐患的，特别是对使用易燃夹芯彩钢板搭建分隔、使用聚氨酯泡沫等易燃可燃材料装修或作隔热保温层、存在私拉乱拉乱接电器线路等明显安全隐患的经营场所 要立即向属地乡镇人民政府报告，履行《中华人民共和国安全生产法》“三管三必须”职责。</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（三）加强协同监管 强化案件查办力度。</w:t>
      </w:r>
      <w:r>
        <w:rPr>
          <w:rFonts w:hint="eastAsia" w:ascii="仿宋_GB2312" w:hAnsi="仿宋_GB2312" w:eastAsia="仿宋_GB2312" w:cs="仿宋_GB2312"/>
          <w:lang w:val="en-US" w:eastAsia="zh-CN"/>
        </w:rPr>
        <w:t>各市场监管所要服从并积极配合乡镇人民政府及县直有关部门开展的含消防安全在内的各类安全生产检查，依法履职尽责，查处无证经营、无照经营、违法登记事项管理等相关的违法行为。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积极主动向乡镇人民政府汇报，在乡镇人民政府的协调下，主动联合所在乡镇的有关单位开展证、照、登记事项等涉及我局职责内与安全生产相关的联合检查。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各市场监管所在每月</w:t>
      </w:r>
      <w:r>
        <w:rPr>
          <w:rFonts w:hint="eastAsia" w:ascii="仿宋_GB2312" w:hAnsi="仿宋_GB2312" w:eastAsia="仿宋_GB2312" w:cs="仿宋_GB2312"/>
          <w:lang w:val="en-US" w:eastAsia="zh-CN"/>
        </w:rPr>
        <w:t>20日前把当月专项整治进展情况小结及排查台账汇总到信用监管股，由信用监管股汇总上报。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leftChars="0" w:firstLine="320" w:firstLineChars="100"/>
        <w:textAlignment w:val="auto"/>
        <w:rPr>
          <w:rFonts w:hint="eastAsia"/>
          <w:lang w:val="en-US" w:eastAsia="zh-CN"/>
        </w:rPr>
      </w:pPr>
      <w:r>
        <w:rPr>
          <w:rFonts w:hint="eastAsia"/>
          <w:lang w:val="en-US" w:eastAsia="zh-CN"/>
        </w:rPr>
        <w:t>附件：1.《重点场所安全消防安全专项整治排查台账》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0" w:leftChars="0" w:firstLine="0" w:firstLineChars="0"/>
        <w:textAlignment w:val="auto"/>
        <w:rPr>
          <w:rFonts w:hint="default"/>
          <w:lang w:val="en-US" w:eastAsia="zh-CN"/>
        </w:rPr>
      </w:pPr>
      <w:r>
        <w:rPr>
          <w:rFonts w:hint="eastAsia"/>
          <w:lang w:val="en-US" w:eastAsia="zh-CN"/>
        </w:rPr>
        <w:t xml:space="preserve">        2.《淮南市市场主体</w:t>
      </w:r>
      <w:bookmarkStart w:id="0" w:name="_GoBack"/>
      <w:bookmarkEnd w:id="0"/>
      <w:r>
        <w:rPr>
          <w:rFonts w:hint="eastAsia"/>
          <w:lang w:val="en-US" w:eastAsia="zh-CN"/>
        </w:rPr>
        <w:t>住所（经营场所）登记负面清单》</w:t>
      </w:r>
    </w:p>
    <w:p>
      <w:pPr>
        <w:numPr>
          <w:ilvl w:val="0"/>
          <w:numId w:val="0"/>
        </w:numPr>
        <w:ind w:left="480" w:leftChars="0" w:firstLine="0" w:firstLineChars="0"/>
        <w:rPr>
          <w:rFonts w:hint="eastAsia"/>
          <w:lang w:val="en-US" w:eastAsia="zh-CN"/>
        </w:rPr>
      </w:pPr>
    </w:p>
    <w:p>
      <w:pPr>
        <w:numPr>
          <w:ilvl w:val="0"/>
          <w:numId w:val="0"/>
        </w:numPr>
        <w:ind w:left="480" w:leftChars="0"/>
        <w:rPr>
          <w:rFonts w:hint="eastAsia"/>
          <w:lang w:val="en-US" w:eastAsia="zh-CN"/>
        </w:rPr>
      </w:pPr>
      <w:r>
        <w:rPr>
          <w:rFonts w:hint="eastAsia"/>
          <w:lang w:val="en-US" w:eastAsia="zh-CN"/>
        </w:rPr>
        <w:t xml:space="preserve">                              </w:t>
      </w:r>
    </w:p>
    <w:p>
      <w:pPr>
        <w:numPr>
          <w:ilvl w:val="0"/>
          <w:numId w:val="0"/>
        </w:numPr>
        <w:ind w:firstLine="5440" w:firstLineChars="1700"/>
        <w:rPr>
          <w:rFonts w:hint="eastAsia"/>
          <w:lang w:val="en-US" w:eastAsia="zh-CN"/>
        </w:rPr>
      </w:pPr>
      <w:r>
        <w:rPr>
          <w:rFonts w:hint="eastAsia"/>
          <w:lang w:val="en-US" w:eastAsia="zh-CN"/>
        </w:rPr>
        <w:t xml:space="preserve"> 寿县市场监管局</w:t>
      </w:r>
    </w:p>
    <w:p>
      <w:pPr>
        <w:numPr>
          <w:ilvl w:val="0"/>
          <w:numId w:val="0"/>
        </w:numPr>
        <w:ind w:left="480" w:leftChars="0"/>
        <w:rPr>
          <w:rFonts w:hint="default"/>
          <w:lang w:val="en-US" w:eastAsia="zh-CN"/>
        </w:rPr>
      </w:pPr>
      <w:r>
        <w:rPr>
          <w:rFonts w:hint="eastAsia"/>
          <w:lang w:val="en-US" w:eastAsia="zh-CN"/>
        </w:rPr>
        <w:t xml:space="preserve">                               2023年3月16日</w:t>
      </w:r>
    </w:p>
    <w:p>
      <w:pPr>
        <w:numPr>
          <w:ilvl w:val="0"/>
          <w:numId w:val="0"/>
        </w:numPr>
        <w:ind w:left="480" w:leftChars="0"/>
        <w:rPr>
          <w:rFonts w:hint="eastAsia"/>
          <w:lang w:val="en-US" w:eastAsia="zh-CN"/>
        </w:rPr>
      </w:pPr>
    </w:p>
    <w:p>
      <w:pPr>
        <w:numPr>
          <w:ilvl w:val="0"/>
          <w:numId w:val="0"/>
        </w:numPr>
        <w:ind w:left="480" w:leftChars="0"/>
        <w:rPr>
          <w:rFonts w:hint="eastAsia"/>
          <w:lang w:val="en-US" w:eastAsia="zh-CN"/>
        </w:rPr>
      </w:pPr>
    </w:p>
    <w:p>
      <w:pPr>
        <w:numPr>
          <w:ilvl w:val="0"/>
          <w:numId w:val="0"/>
        </w:numPr>
        <w:rPr>
          <w:rFonts w:hint="eastAsia"/>
          <w:lang w:val="en-US" w:eastAsia="zh-CN"/>
        </w:rPr>
      </w:pPr>
    </w:p>
    <w:p>
      <w:pPr>
        <w:numPr>
          <w:ilvl w:val="0"/>
          <w:numId w:val="0"/>
        </w:numPr>
        <w:ind w:left="480" w:leftChars="0"/>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寿县市场监督管理局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44"/>
          <w:szCs w:val="44"/>
        </w:rPr>
        <w:t>重点场所安全消防安全专项整治排查</w:t>
      </w:r>
      <w:r>
        <w:rPr>
          <w:rFonts w:hint="eastAsia" w:ascii="黑体" w:hAnsi="黑体" w:eastAsia="黑体" w:cs="黑体"/>
          <w:b/>
          <w:bCs/>
          <w:sz w:val="44"/>
          <w:szCs w:val="44"/>
          <w:lang w:eastAsia="zh-CN"/>
        </w:rPr>
        <w:t>整改</w:t>
      </w:r>
      <w:r>
        <w:rPr>
          <w:rFonts w:hint="eastAsia" w:ascii="黑体" w:hAnsi="黑体" w:eastAsia="黑体" w:cs="黑体"/>
          <w:b/>
          <w:bCs/>
          <w:sz w:val="44"/>
          <w:szCs w:val="44"/>
        </w:rPr>
        <w:t>台账</w:t>
      </w:r>
      <w:r>
        <w:rPr>
          <w:rFonts w:hint="eastAsia" w:ascii="黑体" w:hAnsi="黑体" w:eastAsia="黑体" w:cs="黑体"/>
          <w:b/>
          <w:bCs/>
          <w:sz w:val="44"/>
          <w:szCs w:val="44"/>
          <w:lang w:val="en-US" w:eastAsia="zh-CN"/>
        </w:rPr>
        <w:t xml:space="preserve"> </w:t>
      </w:r>
      <w:r>
        <w:rPr>
          <w:rFonts w:hint="eastAsia"/>
          <w:b/>
          <w:bCs/>
          <w:sz w:val="44"/>
          <w:szCs w:val="44"/>
          <w:lang w:val="en-US" w:eastAsia="zh-CN"/>
        </w:rPr>
        <w:t xml:space="preserve"> </w:t>
      </w:r>
      <w:r>
        <w:rPr>
          <w:rFonts w:hint="eastAsia"/>
          <w:sz w:val="36"/>
          <w:szCs w:val="36"/>
          <w:lang w:val="en-US" w:eastAsia="zh-CN"/>
        </w:rPr>
        <w:t xml:space="preserve">                                                                         </w:t>
      </w:r>
      <w:r>
        <w:rPr>
          <w:rFonts w:hint="eastAsia" w:ascii="仿宋_GB2312" w:hAnsi="仿宋_GB2312" w:eastAsia="仿宋_GB2312" w:cs="仿宋_GB2312"/>
          <w:sz w:val="32"/>
          <w:szCs w:val="32"/>
          <w:lang w:val="en-US" w:eastAsia="zh-CN"/>
        </w:rPr>
        <w:t>单位（公章）：            填报人：                报送时间：    年    月    日</w:t>
      </w:r>
    </w:p>
    <w:tbl>
      <w:tblPr>
        <w:tblStyle w:val="8"/>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95"/>
        <w:gridCol w:w="2428"/>
        <w:gridCol w:w="2809"/>
        <w:gridCol w:w="172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sz w:val="30"/>
                <w:szCs w:val="30"/>
              </w:rPr>
            </w:pPr>
            <w:r>
              <w:rPr>
                <w:rFonts w:hint="eastAsia"/>
                <w:sz w:val="30"/>
                <w:szCs w:val="30"/>
              </w:rPr>
              <w:t>经营者</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sz w:val="30"/>
                <w:szCs w:val="30"/>
              </w:rPr>
            </w:pPr>
            <w:r>
              <w:rPr>
                <w:rFonts w:hint="eastAsia"/>
                <w:sz w:val="30"/>
                <w:szCs w:val="30"/>
              </w:rPr>
              <w:t>姓</w:t>
            </w:r>
            <w:r>
              <w:rPr>
                <w:rFonts w:hint="eastAsia"/>
                <w:sz w:val="30"/>
                <w:szCs w:val="30"/>
                <w:lang w:val="en-US" w:eastAsia="zh-CN"/>
              </w:rPr>
              <w:t xml:space="preserve">  </w:t>
            </w:r>
            <w:r>
              <w:rPr>
                <w:rFonts w:hint="eastAsia"/>
                <w:sz w:val="30"/>
                <w:szCs w:val="30"/>
              </w:rPr>
              <w:t>名</w:t>
            </w:r>
          </w:p>
        </w:tc>
        <w:tc>
          <w:tcPr>
            <w:tcW w:w="2195" w:type="dxa"/>
            <w:noWrap w:val="0"/>
            <w:vAlign w:val="center"/>
          </w:tcPr>
          <w:p>
            <w:pPr>
              <w:spacing w:after="0" w:line="240" w:lineRule="auto"/>
              <w:jc w:val="center"/>
              <w:rPr>
                <w:sz w:val="30"/>
                <w:szCs w:val="30"/>
              </w:rPr>
            </w:pPr>
            <w:r>
              <w:rPr>
                <w:rFonts w:hint="eastAsia"/>
                <w:sz w:val="30"/>
                <w:szCs w:val="30"/>
              </w:rPr>
              <w:t>经营地址</w:t>
            </w:r>
          </w:p>
        </w:tc>
        <w:tc>
          <w:tcPr>
            <w:tcW w:w="2428" w:type="dxa"/>
            <w:noWrap w:val="0"/>
            <w:vAlign w:val="center"/>
          </w:tcPr>
          <w:p>
            <w:pPr>
              <w:spacing w:after="0" w:line="240" w:lineRule="auto"/>
              <w:jc w:val="center"/>
              <w:rPr>
                <w:sz w:val="30"/>
                <w:szCs w:val="30"/>
              </w:rPr>
            </w:pPr>
            <w:r>
              <w:rPr>
                <w:rFonts w:hint="eastAsia"/>
                <w:sz w:val="30"/>
                <w:szCs w:val="30"/>
              </w:rPr>
              <w:t>经营项目</w:t>
            </w:r>
          </w:p>
        </w:tc>
        <w:tc>
          <w:tcPr>
            <w:tcW w:w="2809" w:type="dxa"/>
            <w:noWrap w:val="0"/>
            <w:vAlign w:val="center"/>
          </w:tcPr>
          <w:p>
            <w:pPr>
              <w:spacing w:after="0" w:line="240" w:lineRule="auto"/>
              <w:jc w:val="center"/>
              <w:rPr>
                <w:rFonts w:hint="eastAsia" w:eastAsia="仿宋"/>
                <w:sz w:val="30"/>
                <w:szCs w:val="30"/>
                <w:lang w:eastAsia="zh-CN"/>
              </w:rPr>
            </w:pPr>
            <w:r>
              <w:rPr>
                <w:rFonts w:hint="eastAsia"/>
                <w:sz w:val="30"/>
                <w:szCs w:val="30"/>
                <w:lang w:eastAsia="zh-CN"/>
              </w:rPr>
              <w:t>排查发现问题描述</w:t>
            </w:r>
          </w:p>
        </w:tc>
        <w:tc>
          <w:tcPr>
            <w:tcW w:w="1721" w:type="dxa"/>
            <w:noWrap w:val="0"/>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eastAsia="仿宋"/>
                <w:lang w:val="en-US" w:eastAsia="zh-CN"/>
              </w:rPr>
            </w:pPr>
            <w:r>
              <w:rPr>
                <w:rFonts w:hint="eastAsia"/>
              </w:rPr>
              <w:t>发现时间</w:t>
            </w:r>
            <w:r>
              <w:rPr>
                <w:rFonts w:hint="eastAsia"/>
                <w:lang w:val="en-US" w:eastAsia="zh-CN"/>
              </w:rPr>
              <w:t>排查人员</w:t>
            </w:r>
          </w:p>
        </w:tc>
        <w:tc>
          <w:tcPr>
            <w:tcW w:w="3067" w:type="dxa"/>
            <w:noWrap w:val="0"/>
            <w:vAlign w:val="center"/>
          </w:tcPr>
          <w:p>
            <w:pPr>
              <w:spacing w:after="0" w:line="240" w:lineRule="auto"/>
              <w:jc w:val="center"/>
              <w:rPr>
                <w:sz w:val="30"/>
                <w:szCs w:val="30"/>
              </w:rPr>
            </w:pPr>
            <w:r>
              <w:rPr>
                <w:rFonts w:hint="eastAsia"/>
                <w:sz w:val="30"/>
                <w:szCs w:val="30"/>
              </w:rPr>
              <w:t>处置情况及</w:t>
            </w:r>
            <w:r>
              <w:rPr>
                <w:rFonts w:hint="eastAsia"/>
                <w:sz w:val="30"/>
                <w:szCs w:val="30"/>
                <w:lang w:eastAsia="zh-CN"/>
              </w:rPr>
              <w:t>整改</w:t>
            </w:r>
            <w:r>
              <w:rPr>
                <w:rFonts w:hint="eastAsia"/>
                <w:sz w:val="30"/>
                <w:szCs w:val="30"/>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680" w:type="dxa"/>
            <w:noWrap w:val="0"/>
            <w:vAlign w:val="center"/>
          </w:tcPr>
          <w:p>
            <w:pPr>
              <w:spacing w:after="0" w:line="240" w:lineRule="auto"/>
              <w:rPr>
                <w:sz w:val="30"/>
                <w:szCs w:val="30"/>
              </w:rPr>
            </w:pPr>
            <w:r>
              <w:rPr>
                <w:rFonts w:hint="eastAsia"/>
                <w:sz w:val="30"/>
                <w:szCs w:val="30"/>
              </w:rPr>
              <w:t xml:space="preserve">  </w:t>
            </w:r>
          </w:p>
        </w:tc>
        <w:tc>
          <w:tcPr>
            <w:tcW w:w="2195" w:type="dxa"/>
            <w:noWrap w:val="0"/>
            <w:vAlign w:val="center"/>
          </w:tcPr>
          <w:p>
            <w:pPr>
              <w:spacing w:after="0" w:line="240" w:lineRule="auto"/>
              <w:jc w:val="center"/>
              <w:rPr>
                <w:sz w:val="30"/>
                <w:szCs w:val="30"/>
              </w:rPr>
            </w:pPr>
          </w:p>
        </w:tc>
        <w:tc>
          <w:tcPr>
            <w:tcW w:w="2428" w:type="dxa"/>
            <w:noWrap w:val="0"/>
            <w:vAlign w:val="center"/>
          </w:tcPr>
          <w:p>
            <w:pPr>
              <w:spacing w:after="0" w:line="240" w:lineRule="auto"/>
              <w:jc w:val="center"/>
              <w:rPr>
                <w:sz w:val="30"/>
                <w:szCs w:val="30"/>
              </w:rPr>
            </w:pPr>
          </w:p>
        </w:tc>
        <w:tc>
          <w:tcPr>
            <w:tcW w:w="2809" w:type="dxa"/>
            <w:noWrap w:val="0"/>
            <w:vAlign w:val="center"/>
          </w:tcPr>
          <w:p>
            <w:pPr>
              <w:spacing w:after="0" w:line="240" w:lineRule="auto"/>
              <w:ind w:firstLine="640" w:firstLineChars="200"/>
            </w:pPr>
          </w:p>
        </w:tc>
        <w:tc>
          <w:tcPr>
            <w:tcW w:w="1721" w:type="dxa"/>
            <w:noWrap w:val="0"/>
            <w:vAlign w:val="center"/>
          </w:tcPr>
          <w:p>
            <w:pPr>
              <w:spacing w:after="0" w:line="240" w:lineRule="auto"/>
              <w:jc w:val="center"/>
              <w:rPr>
                <w:sz w:val="28"/>
                <w:szCs w:val="28"/>
              </w:rPr>
            </w:pPr>
          </w:p>
        </w:tc>
        <w:tc>
          <w:tcPr>
            <w:tcW w:w="3067" w:type="dxa"/>
            <w:noWrap w:val="0"/>
            <w:vAlign w:val="center"/>
          </w:tcPr>
          <w:p>
            <w:pPr>
              <w:spacing w:after="0"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680" w:type="dxa"/>
            <w:noWrap w:val="0"/>
            <w:vAlign w:val="center"/>
          </w:tcPr>
          <w:p>
            <w:pPr>
              <w:spacing w:after="0" w:line="240" w:lineRule="auto"/>
              <w:rPr>
                <w:sz w:val="30"/>
                <w:szCs w:val="30"/>
              </w:rPr>
            </w:pPr>
            <w:r>
              <w:rPr>
                <w:rFonts w:hint="eastAsia"/>
                <w:sz w:val="30"/>
                <w:szCs w:val="30"/>
              </w:rPr>
              <w:t xml:space="preserve">     </w:t>
            </w:r>
          </w:p>
        </w:tc>
        <w:tc>
          <w:tcPr>
            <w:tcW w:w="2195" w:type="dxa"/>
            <w:noWrap w:val="0"/>
            <w:vAlign w:val="center"/>
          </w:tcPr>
          <w:p>
            <w:pPr>
              <w:spacing w:after="0" w:line="240" w:lineRule="auto"/>
              <w:rPr>
                <w:sz w:val="30"/>
                <w:szCs w:val="30"/>
              </w:rPr>
            </w:pPr>
            <w:r>
              <w:rPr>
                <w:rFonts w:hint="eastAsia"/>
                <w:sz w:val="30"/>
                <w:szCs w:val="30"/>
              </w:rPr>
              <w:t xml:space="preserve">       </w:t>
            </w:r>
          </w:p>
        </w:tc>
        <w:tc>
          <w:tcPr>
            <w:tcW w:w="2428" w:type="dxa"/>
            <w:noWrap w:val="0"/>
            <w:vAlign w:val="center"/>
          </w:tcPr>
          <w:p>
            <w:pPr>
              <w:spacing w:after="0" w:line="240" w:lineRule="auto"/>
              <w:jc w:val="center"/>
              <w:rPr>
                <w:sz w:val="30"/>
                <w:szCs w:val="30"/>
              </w:rPr>
            </w:pPr>
          </w:p>
        </w:tc>
        <w:tc>
          <w:tcPr>
            <w:tcW w:w="2809" w:type="dxa"/>
            <w:noWrap w:val="0"/>
            <w:vAlign w:val="center"/>
          </w:tcPr>
          <w:p>
            <w:pPr>
              <w:spacing w:after="0" w:line="240" w:lineRule="auto"/>
            </w:pPr>
          </w:p>
        </w:tc>
        <w:tc>
          <w:tcPr>
            <w:tcW w:w="1721" w:type="dxa"/>
            <w:noWrap w:val="0"/>
            <w:vAlign w:val="center"/>
          </w:tcPr>
          <w:p>
            <w:pPr>
              <w:spacing w:after="0" w:line="240" w:lineRule="auto"/>
              <w:jc w:val="center"/>
              <w:rPr>
                <w:sz w:val="28"/>
                <w:szCs w:val="28"/>
              </w:rPr>
            </w:pPr>
          </w:p>
        </w:tc>
        <w:tc>
          <w:tcPr>
            <w:tcW w:w="3067" w:type="dxa"/>
            <w:noWrap w:val="0"/>
            <w:vAlign w:val="center"/>
          </w:tcPr>
          <w:p>
            <w:pPr>
              <w:spacing w:after="0" w:line="240" w:lineRule="auto"/>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680" w:type="dxa"/>
            <w:noWrap w:val="0"/>
            <w:vAlign w:val="center"/>
          </w:tcPr>
          <w:p>
            <w:pPr>
              <w:spacing w:after="0" w:line="240" w:lineRule="auto"/>
              <w:jc w:val="center"/>
              <w:rPr>
                <w:sz w:val="30"/>
                <w:szCs w:val="30"/>
              </w:rPr>
            </w:pPr>
          </w:p>
        </w:tc>
        <w:tc>
          <w:tcPr>
            <w:tcW w:w="2195" w:type="dxa"/>
            <w:noWrap w:val="0"/>
            <w:vAlign w:val="center"/>
          </w:tcPr>
          <w:p>
            <w:pPr>
              <w:spacing w:after="0" w:line="240" w:lineRule="auto"/>
              <w:jc w:val="center"/>
              <w:rPr>
                <w:sz w:val="30"/>
                <w:szCs w:val="30"/>
              </w:rPr>
            </w:pPr>
          </w:p>
        </w:tc>
        <w:tc>
          <w:tcPr>
            <w:tcW w:w="2428" w:type="dxa"/>
            <w:noWrap w:val="0"/>
            <w:vAlign w:val="center"/>
          </w:tcPr>
          <w:p>
            <w:pPr>
              <w:spacing w:after="0" w:line="240" w:lineRule="auto"/>
              <w:jc w:val="center"/>
              <w:rPr>
                <w:sz w:val="30"/>
                <w:szCs w:val="30"/>
              </w:rPr>
            </w:pPr>
          </w:p>
        </w:tc>
        <w:tc>
          <w:tcPr>
            <w:tcW w:w="2809" w:type="dxa"/>
            <w:noWrap w:val="0"/>
            <w:vAlign w:val="center"/>
          </w:tcPr>
          <w:p>
            <w:pPr>
              <w:spacing w:after="0" w:line="240" w:lineRule="auto"/>
              <w:jc w:val="center"/>
              <w:rPr>
                <w:sz w:val="30"/>
                <w:szCs w:val="30"/>
              </w:rPr>
            </w:pPr>
          </w:p>
        </w:tc>
        <w:tc>
          <w:tcPr>
            <w:tcW w:w="1721" w:type="dxa"/>
            <w:noWrap w:val="0"/>
            <w:vAlign w:val="center"/>
          </w:tcPr>
          <w:p>
            <w:pPr>
              <w:spacing w:after="0" w:line="240" w:lineRule="auto"/>
              <w:jc w:val="center"/>
              <w:rPr>
                <w:sz w:val="28"/>
                <w:szCs w:val="28"/>
              </w:rPr>
            </w:pPr>
          </w:p>
        </w:tc>
        <w:tc>
          <w:tcPr>
            <w:tcW w:w="3067" w:type="dxa"/>
            <w:noWrap w:val="0"/>
            <w:vAlign w:val="center"/>
          </w:tcPr>
          <w:p>
            <w:pPr>
              <w:spacing w:after="0" w:line="240" w:lineRule="auto"/>
              <w:jc w:val="center"/>
              <w:rPr>
                <w:sz w:val="30"/>
                <w:szCs w:val="30"/>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《淮南市市场主体住所（经营场所）登记负面清单》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0"/>
          <w:szCs w:val="30"/>
          <w:lang w:eastAsia="zh-CN"/>
        </w:rPr>
      </w:pPr>
      <w:r>
        <w:rPr>
          <w:rFonts w:hint="eastAsia" w:ascii="黑体" w:hAnsi="黑体" w:eastAsia="黑体" w:cs="黑体"/>
          <w:b/>
          <w:bCs/>
          <w:sz w:val="44"/>
          <w:szCs w:val="44"/>
          <w:lang w:val="en-US" w:eastAsia="zh-CN"/>
        </w:rPr>
        <w:t xml:space="preserve">                                      </w:t>
      </w:r>
      <w:r>
        <w:rPr>
          <w:rFonts w:hint="eastAsia" w:ascii="仿宋_GB2312" w:hAnsi="仿宋_GB2312" w:eastAsia="仿宋_GB2312" w:cs="仿宋_GB2312"/>
          <w:b w:val="0"/>
          <w:bCs w:val="0"/>
          <w:sz w:val="30"/>
          <w:szCs w:val="30"/>
          <w:lang w:eastAsia="zh-CN"/>
        </w:rPr>
        <w:t>（详见：淮府办秘〔2017〕246号）</w:t>
      </w:r>
    </w:p>
    <w:tbl>
      <w:tblPr>
        <w:tblStyle w:val="7"/>
        <w:tblW w:w="13963"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65"/>
        <w:gridCol w:w="2310"/>
        <w:gridCol w:w="10888"/>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61"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序号</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类别</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依据</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利用非法建筑</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从事经营活动</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《国务院关于印发注册资本登记制度改革方案的通知》（国发〔2014〕7号）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三、严格市场主体监督管理，依法维护市场秩序</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七）加强市场主体住所（经营场所）管理。工商行政管理机关根据投诉举报，依法处理市场主体登记住所（经营场所）与实际情况不符的问题。对于应当具备特定条件的住所（经营场所），或者利用非法建筑、擅自改变房屋用途等从事经营活动的，由规划、建设、国土、房屋管理、公安、环保、安全监管等部门依法管理；涉及许可审批事项的，由负责许可审批的行政管理部门依法监管。</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2</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利用危险房屋</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从事经营活动</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《城市危险房屋管理规定》（建设部令第129号）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第二十三条　因下列原因造成事故的，使用人、行为人应承担民事责任；</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（一）使用人擅自改变房屋结构、构件、设备或使用性质；</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3</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利用保障性住房</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从事经营活动</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《安徽省保障性住房建设和管理办法（试行）》（安徽省人民政府令第248号）</w:t>
            </w:r>
          </w:p>
          <w:p>
            <w:pPr>
              <w:adjustRightInd/>
              <w:snapToGrid/>
              <w:spacing w:after="0"/>
              <w:contextualSpacing/>
              <w:jc w:val="both"/>
              <w:rPr>
                <w:rFonts w:hint="eastAsia" w:ascii="仿宋_GB2312" w:hAnsi="宋体" w:eastAsia="仿宋_GB2312"/>
                <w:spacing w:val="15"/>
                <w:sz w:val="21"/>
                <w:szCs w:val="21"/>
                <w:shd w:val="clear" w:color="auto" w:fill="FFFFFF"/>
              </w:rPr>
            </w:pPr>
            <w:r>
              <w:rPr>
                <w:rFonts w:hint="eastAsia" w:ascii="仿宋_GB2312" w:hAnsi="宋体" w:eastAsia="仿宋_GB2312"/>
                <w:spacing w:val="15"/>
                <w:sz w:val="21"/>
                <w:szCs w:val="21"/>
                <w:shd w:val="clear" w:color="auto" w:fill="FFFFFF"/>
              </w:rPr>
              <w:t>第三十条</w:t>
            </w:r>
            <w:r>
              <w:rPr>
                <w:rFonts w:hint="eastAsia" w:ascii="宋体" w:hAnsi="宋体" w:eastAsia="仿宋_GB2312"/>
                <w:spacing w:val="15"/>
                <w:sz w:val="21"/>
                <w:szCs w:val="21"/>
                <w:shd w:val="clear" w:color="auto" w:fill="FFFFFF"/>
              </w:rPr>
              <w:t> </w:t>
            </w:r>
            <w:r>
              <w:rPr>
                <w:rFonts w:hint="eastAsia" w:ascii="仿宋_GB2312" w:hAnsi="宋体" w:eastAsia="仿宋_GB2312"/>
                <w:spacing w:val="15"/>
                <w:sz w:val="21"/>
                <w:szCs w:val="21"/>
                <w:shd w:val="clear" w:color="auto" w:fill="FFFFFF"/>
              </w:rPr>
              <w:t>承租人有下列情形之一的，应当退回承租的保障性住房,</w:t>
            </w:r>
            <w:r>
              <w:rPr>
                <w:rFonts w:hint="eastAsia" w:ascii="仿宋_GB2312" w:hAnsi="宋体" w:eastAsia="仿宋_GB2312"/>
                <w:sz w:val="21"/>
                <w:szCs w:val="21"/>
              </w:rPr>
              <w:t>停止发放住房租金补助</w:t>
            </w:r>
          </w:p>
          <w:p>
            <w:pPr>
              <w:adjustRightInd/>
              <w:snapToGrid/>
              <w:spacing w:after="0"/>
              <w:contextualSpacing/>
              <w:jc w:val="both"/>
              <w:rPr>
                <w:rFonts w:hint="eastAsia" w:ascii="仿宋_GB2312" w:hAnsi="宋体" w:eastAsia="仿宋_GB2312"/>
                <w:spacing w:val="15"/>
                <w:sz w:val="21"/>
                <w:szCs w:val="21"/>
                <w:shd w:val="clear" w:color="auto" w:fill="FFFFFF"/>
              </w:rPr>
            </w:pPr>
            <w:r>
              <w:rPr>
                <w:rFonts w:hint="eastAsia" w:ascii="仿宋_GB2312" w:hAnsi="宋体" w:eastAsia="仿宋_GB2312"/>
                <w:spacing w:val="15"/>
                <w:sz w:val="21"/>
                <w:szCs w:val="21"/>
                <w:shd w:val="clear" w:color="auto" w:fill="FFFFFF"/>
              </w:rPr>
              <w:t>（二）转租、出借保障性住房的；</w:t>
            </w:r>
          </w:p>
          <w:p>
            <w:pPr>
              <w:adjustRightInd/>
              <w:snapToGrid/>
              <w:spacing w:after="0"/>
              <w:contextualSpacing/>
              <w:jc w:val="both"/>
              <w:rPr>
                <w:rFonts w:hint="eastAsia" w:ascii="仿宋_GB2312" w:hAnsi="宋体" w:eastAsia="仿宋_GB2312"/>
                <w:spacing w:val="15"/>
                <w:sz w:val="21"/>
                <w:szCs w:val="21"/>
                <w:shd w:val="clear" w:color="auto" w:fill="FFFFFF"/>
              </w:rPr>
            </w:pPr>
            <w:r>
              <w:rPr>
                <w:rFonts w:hint="eastAsia" w:ascii="仿宋_GB2312" w:hAnsi="宋体" w:eastAsia="仿宋_GB2312"/>
                <w:spacing w:val="15"/>
                <w:sz w:val="21"/>
                <w:szCs w:val="21"/>
                <w:shd w:val="clear" w:color="auto" w:fill="FFFFFF"/>
              </w:rPr>
              <w:t>（五）</w:t>
            </w:r>
            <w:r>
              <w:rPr>
                <w:rFonts w:hint="eastAsia" w:ascii="仿宋_GB2312" w:hAnsi="宋体" w:eastAsia="仿宋_GB2312"/>
                <w:sz w:val="21"/>
                <w:szCs w:val="21"/>
              </w:rPr>
              <w:t>损毁、破坏保障性住房拒不恢复原状，或者</w:t>
            </w:r>
            <w:r>
              <w:rPr>
                <w:rFonts w:hint="eastAsia" w:ascii="仿宋_GB2312" w:hAnsi="宋体" w:eastAsia="仿宋_GB2312"/>
                <w:spacing w:val="15"/>
                <w:sz w:val="21"/>
                <w:szCs w:val="21"/>
                <w:shd w:val="clear" w:color="auto" w:fill="FFFFFF"/>
              </w:rPr>
              <w:t>擅自改变房屋用途和结构的；</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4</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在中学、小学校园周边200米范围内及居民住宅楼（院）内设立互联网上网服务营业场所</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《互联网上网服务营业场所管理条例》（</w:t>
            </w:r>
            <w:r>
              <w:rPr>
                <w:rFonts w:hint="eastAsia" w:ascii="仿宋_GB2312" w:hAnsi="宋体" w:eastAsia="仿宋_GB2312"/>
                <w:sz w:val="21"/>
                <w:szCs w:val="21"/>
              </w:rPr>
              <w:t>国务院令第666号）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cs="Arial"/>
                <w:sz w:val="21"/>
                <w:szCs w:val="21"/>
              </w:rPr>
              <w:t xml:space="preserve">第九条 </w:t>
            </w:r>
            <w:r>
              <w:rPr>
                <w:rFonts w:hint="eastAsia" w:ascii="仿宋_GB2312" w:hAnsi="宋体" w:eastAsia="仿宋_GB2312"/>
                <w:sz w:val="21"/>
                <w:szCs w:val="21"/>
              </w:rPr>
              <w:t>中学、小学校园周围200米范围内和居民住宅楼(院)内不得设立互联网上网服务营业场所。</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5</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cs="Arial"/>
                <w:sz w:val="21"/>
                <w:szCs w:val="21"/>
                <w:shd w:val="clear" w:color="auto" w:fill="FFFFFF"/>
              </w:rPr>
              <w:t>在居民住宅楼、未配套设立专用烟道的商住综合楼以及商住综合楼内与居住层相邻的商业楼层内新建、改建、扩建产生油烟、异味、废气的餐饮服务项目</w:t>
            </w:r>
          </w:p>
        </w:tc>
        <w:tc>
          <w:tcPr>
            <w:tcW w:w="10888" w:type="dxa"/>
            <w:shd w:val="clear" w:color="auto" w:fill="auto"/>
            <w:noWrap w:val="0"/>
            <w:tcMar>
              <w:top w:w="0" w:type="dxa"/>
              <w:left w:w="105" w:type="dxa"/>
              <w:bottom w:w="0" w:type="dxa"/>
              <w:right w:w="105" w:type="dxa"/>
            </w:tcMar>
            <w:vAlign w:val="center"/>
          </w:tcPr>
          <w:p>
            <w:pPr>
              <w:pStyle w:val="6"/>
              <w:shd w:val="clear" w:color="auto" w:fill="FFFFFF"/>
              <w:spacing w:before="0" w:beforeAutospacing="0" w:after="0" w:afterAutospacing="0"/>
              <w:contextualSpacing/>
              <w:jc w:val="both"/>
              <w:rPr>
                <w:rFonts w:hint="eastAsia" w:ascii="仿宋_GB2312" w:eastAsia="仿宋_GB2312" w:cs="Arial"/>
                <w:sz w:val="21"/>
                <w:szCs w:val="21"/>
              </w:rPr>
            </w:pPr>
            <w:r>
              <w:rPr>
                <w:rFonts w:hint="eastAsia" w:ascii="仿宋_GB2312" w:eastAsia="仿宋_GB2312"/>
                <w:sz w:val="21"/>
                <w:szCs w:val="21"/>
              </w:rPr>
              <w:t>《中华人民共和国大气污染防治法》（</w:t>
            </w:r>
            <w:r>
              <w:rPr>
                <w:rFonts w:hint="eastAsia" w:ascii="仿宋_GB2312" w:eastAsia="仿宋_GB2312" w:cs="Arial"/>
                <w:sz w:val="21"/>
                <w:szCs w:val="21"/>
              </w:rPr>
              <w:t>中华人民共和国主席令第三十一号）</w:t>
            </w:r>
          </w:p>
          <w:p>
            <w:pPr>
              <w:adjustRightInd/>
              <w:snapToGrid/>
              <w:spacing w:after="0"/>
              <w:contextualSpacing/>
              <w:jc w:val="both"/>
              <w:rPr>
                <w:rFonts w:hint="eastAsia" w:ascii="仿宋_GB2312" w:hAnsi="宋体" w:eastAsia="仿宋_GB2312"/>
                <w:sz w:val="21"/>
                <w:szCs w:val="21"/>
              </w:rPr>
            </w:pPr>
            <w:r>
              <w:rPr>
                <w:rFonts w:hint="eastAsia" w:ascii="仿宋_GB2312" w:eastAsia="仿宋_GB2312"/>
                <w:sz w:val="21"/>
                <w:szCs w:val="21"/>
              </w:rPr>
              <w:t xml:space="preserve">第八十一条 </w:t>
            </w:r>
            <w:r>
              <w:rPr>
                <w:rFonts w:hint="eastAsia" w:ascii="仿宋_GB2312" w:eastAsia="仿宋_GB2312" w:cs="Arial"/>
                <w:sz w:val="21"/>
                <w:szCs w:val="21"/>
                <w:shd w:val="clear" w:color="auto" w:fill="FFFFFF"/>
              </w:rPr>
              <w:t>禁止在居民住宅楼、未配套设立专用烟道的商住综合楼以及商住综合楼内与居住层相邻的商业楼层内新建、改建、扩建产生油烟、异味、废气的餐饮服务项目。</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6</w:t>
            </w:r>
          </w:p>
        </w:tc>
        <w:tc>
          <w:tcPr>
            <w:tcW w:w="2310" w:type="dxa"/>
            <w:shd w:val="clear" w:color="auto" w:fill="auto"/>
            <w:noWrap w:val="0"/>
            <w:tcMar>
              <w:top w:w="0" w:type="dxa"/>
              <w:left w:w="105" w:type="dxa"/>
              <w:bottom w:w="0" w:type="dxa"/>
              <w:right w:w="105" w:type="dxa"/>
            </w:tcMar>
            <w:vAlign w:val="center"/>
          </w:tcPr>
          <w:p>
            <w:pPr>
              <w:pStyle w:val="3"/>
              <w:shd w:val="clear" w:color="auto" w:fill="FFFFFF"/>
              <w:adjustRightInd/>
              <w:snapToGrid/>
              <w:spacing w:before="0" w:after="0" w:line="240" w:lineRule="auto"/>
              <w:contextualSpacing/>
              <w:jc w:val="center"/>
              <w:rPr>
                <w:rFonts w:hint="eastAsia" w:ascii="仿宋_GB2312" w:hAnsi="宋体" w:eastAsia="仿宋_GB2312"/>
                <w:b w:val="0"/>
                <w:sz w:val="21"/>
                <w:szCs w:val="21"/>
              </w:rPr>
            </w:pPr>
            <w:r>
              <w:rPr>
                <w:rFonts w:hint="eastAsia" w:ascii="仿宋_GB2312" w:hAnsi="宋体" w:eastAsia="仿宋_GB2312"/>
                <w:b w:val="0"/>
                <w:sz w:val="21"/>
                <w:szCs w:val="21"/>
              </w:rPr>
              <w:t>在不符合淮南市</w:t>
            </w:r>
          </w:p>
          <w:p>
            <w:pPr>
              <w:pStyle w:val="3"/>
              <w:shd w:val="clear" w:color="auto" w:fill="FFFFFF"/>
              <w:adjustRightInd/>
              <w:snapToGrid/>
              <w:spacing w:before="0" w:after="0" w:line="240" w:lineRule="auto"/>
              <w:contextualSpacing/>
              <w:jc w:val="center"/>
              <w:rPr>
                <w:rFonts w:hint="eastAsia" w:ascii="仿宋_GB2312" w:hAnsi="宋体" w:eastAsia="仿宋_GB2312"/>
                <w:b w:val="0"/>
                <w:sz w:val="21"/>
                <w:szCs w:val="21"/>
              </w:rPr>
            </w:pPr>
            <w:r>
              <w:rPr>
                <w:rFonts w:hint="eastAsia" w:ascii="仿宋_GB2312" w:hAnsi="宋体" w:eastAsia="仿宋_GB2312"/>
                <w:b w:val="0"/>
                <w:sz w:val="21"/>
                <w:szCs w:val="21"/>
              </w:rPr>
              <w:t>烟草制品零售点</w:t>
            </w:r>
          </w:p>
          <w:p>
            <w:pPr>
              <w:pStyle w:val="3"/>
              <w:shd w:val="clear" w:color="auto" w:fill="FFFFFF"/>
              <w:adjustRightInd/>
              <w:snapToGrid/>
              <w:spacing w:before="0" w:after="0" w:line="240" w:lineRule="auto"/>
              <w:contextualSpacing/>
              <w:jc w:val="center"/>
              <w:rPr>
                <w:rFonts w:hint="eastAsia" w:ascii="仿宋_GB2312" w:hAnsi="宋体" w:eastAsia="仿宋_GB2312"/>
                <w:b w:val="0"/>
                <w:sz w:val="21"/>
                <w:szCs w:val="21"/>
              </w:rPr>
            </w:pPr>
            <w:r>
              <w:rPr>
                <w:rFonts w:hint="eastAsia" w:ascii="仿宋_GB2312" w:hAnsi="宋体" w:eastAsia="仿宋_GB2312"/>
                <w:b w:val="0"/>
                <w:sz w:val="21"/>
                <w:szCs w:val="21"/>
              </w:rPr>
              <w:t>合理布局要求的场所</w:t>
            </w:r>
          </w:p>
          <w:p>
            <w:pPr>
              <w:pStyle w:val="3"/>
              <w:shd w:val="clear" w:color="auto" w:fill="FFFFFF"/>
              <w:adjustRightInd/>
              <w:snapToGrid/>
              <w:spacing w:before="0" w:after="0" w:line="240" w:lineRule="auto"/>
              <w:contextualSpacing/>
              <w:jc w:val="center"/>
              <w:rPr>
                <w:rFonts w:hint="eastAsia" w:ascii="仿宋_GB2312" w:hAnsi="宋体" w:eastAsia="仿宋_GB2312"/>
                <w:b w:val="0"/>
                <w:sz w:val="21"/>
                <w:szCs w:val="21"/>
              </w:rPr>
            </w:pPr>
            <w:r>
              <w:rPr>
                <w:rFonts w:hint="eastAsia" w:ascii="仿宋_GB2312" w:hAnsi="宋体" w:eastAsia="仿宋_GB2312"/>
                <w:b w:val="0"/>
                <w:sz w:val="21"/>
                <w:szCs w:val="21"/>
              </w:rPr>
              <w:t>从事烟草制品零售</w:t>
            </w:r>
          </w:p>
        </w:tc>
        <w:tc>
          <w:tcPr>
            <w:tcW w:w="10888" w:type="dxa"/>
            <w:shd w:val="clear" w:color="auto" w:fill="auto"/>
            <w:noWrap w:val="0"/>
            <w:tcMar>
              <w:top w:w="0" w:type="dxa"/>
              <w:left w:w="105" w:type="dxa"/>
              <w:bottom w:w="0" w:type="dxa"/>
              <w:right w:w="105" w:type="dxa"/>
            </w:tcMar>
            <w:vAlign w:val="center"/>
          </w:tcPr>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《中华人民共和国烟草专卖法实施条例》（国务院令第666号）</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第九条 取得烟草专卖零售许可证，应当具备下列条件：</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（三）符合烟草制品零售点合理布局的要求</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《烟草专卖许可证管理办法》（工业和信息化部令第37号）</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第十三条  申请烟草专卖零售许可证，应当具备下列条件：</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（三）符合当地烟草制品零售点合理布局的要求；</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《淮南市卷烟零售点合理布局规定》</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第五条　有下列情形之一的，不予发放烟草专卖零售许可证：</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（一）经营化工品、农药、化肥、油漆等有毒有害物品以及其他基于安全因素不适宜卷烟经营的场所。</w:t>
            </w:r>
          </w:p>
          <w:p>
            <w:pPr>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二）托儿所、幼儿园、中小学内部及门口50米半径内（以大门中心点为测量基点）；医疗卫生机构、影剧院、音乐厅、图书馆、展览馆、博物馆等不适宜经营卷烟的公共场所内以及有关部门规定禁止经营卷烟的区域。</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7</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在非营业性用房内</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开办旅行社</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《旅行社条例实施细则》（国家旅游局令第42号）</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第六条　旅行社的经营场所应当符合下列要求：</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（一）申请者拥有产权的营业用房，或者申请者租用的、租期不少于1年的营业用房</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8</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在居民楼、博物馆、</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图书馆等法规禁止</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设立娱乐场所的地点</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设立娱乐场所</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《娱乐场所管理条例》（国务院令第666号）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w:t>
            </w:r>
            <w:r>
              <w:rPr>
                <w:rFonts w:hint="eastAsia" w:ascii="仿宋_GB2312" w:hAnsi="宋体" w:eastAsia="仿宋_GB2312"/>
                <w:bCs/>
                <w:sz w:val="21"/>
                <w:szCs w:val="21"/>
              </w:rPr>
              <w:t>七</w:t>
            </w:r>
            <w:r>
              <w:rPr>
                <w:rFonts w:hint="eastAsia" w:ascii="仿宋_GB2312" w:hAnsi="宋体" w:eastAsia="仿宋_GB2312"/>
                <w:sz w:val="21"/>
                <w:szCs w:val="21"/>
              </w:rPr>
              <w:t>条  娱乐场所不得设在下列地点：</w:t>
            </w:r>
          </w:p>
          <w:p>
            <w:pPr>
              <w:adjustRightInd/>
              <w:snapToGrid/>
              <w:spacing w:after="0"/>
              <w:contextualSpacing/>
              <w:jc w:val="both"/>
              <w:rPr>
                <w:rFonts w:hint="eastAsia" w:ascii="仿宋_GB2312" w:hAnsi="宋体" w:eastAsia="仿宋_GB2312"/>
                <w:b/>
                <w:bCs/>
                <w:sz w:val="21"/>
                <w:szCs w:val="21"/>
              </w:rPr>
            </w:pPr>
            <w:r>
              <w:rPr>
                <w:rFonts w:hint="eastAsia" w:ascii="仿宋_GB2312" w:hAnsi="宋体" w:eastAsia="仿宋_GB2312" w:cs="宋体"/>
                <w:sz w:val="21"/>
                <w:szCs w:val="21"/>
              </w:rPr>
              <w:t>（一）居民楼、博物馆、图书馆和被核定为文物保护单位的建筑物内；</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（二）居民住宅区和学校、医院、机关周围；</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（三）车站、机场等人群密集的场所；</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（四）建筑物地下一层以下；</w:t>
            </w:r>
          </w:p>
          <w:p>
            <w:pPr>
              <w:adjustRightInd/>
              <w:snapToGrid/>
              <w:spacing w:after="0"/>
              <w:contextualSpacing/>
              <w:jc w:val="both"/>
              <w:rPr>
                <w:rFonts w:hint="eastAsia" w:ascii="仿宋_GB2312" w:hAnsi="宋体" w:eastAsia="仿宋_GB2312" w:cs="宋体"/>
                <w:sz w:val="21"/>
                <w:szCs w:val="21"/>
              </w:rPr>
            </w:pPr>
            <w:r>
              <w:rPr>
                <w:rFonts w:hint="eastAsia" w:ascii="仿宋_GB2312" w:hAnsi="宋体" w:eastAsia="仿宋_GB2312" w:cs="宋体"/>
                <w:sz w:val="21"/>
                <w:szCs w:val="21"/>
              </w:rPr>
              <w:t>（五）与危险化学品仓库毗连的区域。</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9</w:t>
            </w:r>
          </w:p>
        </w:tc>
        <w:tc>
          <w:tcPr>
            <w:tcW w:w="2310" w:type="dxa"/>
            <w:shd w:val="clear" w:color="auto" w:fill="auto"/>
            <w:noWrap w:val="0"/>
            <w:tcMar>
              <w:top w:w="0" w:type="dxa"/>
              <w:left w:w="105" w:type="dxa"/>
              <w:bottom w:w="0" w:type="dxa"/>
              <w:right w:w="105" w:type="dxa"/>
            </w:tcMar>
            <w:vAlign w:val="center"/>
          </w:tcPr>
          <w:p>
            <w:pPr>
              <w:shd w:val="clear" w:color="auto" w:fill="FFFFFF"/>
              <w:adjustRightInd/>
              <w:snapToGrid/>
              <w:spacing w:after="0"/>
              <w:contextualSpacing/>
              <w:jc w:val="center"/>
              <w:rPr>
                <w:rFonts w:hint="eastAsia" w:ascii="仿宋_GB2312" w:hAnsi="宋体" w:eastAsia="仿宋_GB2312" w:cs="Arial"/>
                <w:sz w:val="21"/>
                <w:szCs w:val="21"/>
              </w:rPr>
            </w:pPr>
            <w:r>
              <w:rPr>
                <w:rFonts w:hint="eastAsia" w:ascii="仿宋_GB2312" w:hAnsi="宋体" w:eastAsia="仿宋_GB2312"/>
                <w:sz w:val="21"/>
                <w:szCs w:val="21"/>
              </w:rPr>
              <w:t>在市区内、</w:t>
            </w:r>
            <w:r>
              <w:rPr>
                <w:rFonts w:hint="eastAsia" w:ascii="仿宋_GB2312" w:hAnsi="宋体" w:eastAsia="仿宋_GB2312" w:cs="Arial"/>
                <w:sz w:val="21"/>
                <w:szCs w:val="21"/>
              </w:rPr>
              <w:t>饮用水水源保护区、风景名胜区、自然保护区的核心区和缓冲区、城镇居民区、文化教育科学研究区、等人口集中区域和法律、法规规定的其他禁止养殖区域设立畜禽</w:t>
            </w:r>
          </w:p>
          <w:p>
            <w:pPr>
              <w:shd w:val="clear" w:color="auto" w:fill="FFFFFF"/>
              <w:adjustRightInd/>
              <w:snapToGrid/>
              <w:spacing w:after="0"/>
              <w:contextualSpacing/>
              <w:jc w:val="center"/>
              <w:rPr>
                <w:rFonts w:hint="eastAsia" w:ascii="仿宋_GB2312" w:hAnsi="宋体" w:eastAsia="仿宋_GB2312" w:cs="Arial"/>
                <w:sz w:val="21"/>
                <w:szCs w:val="21"/>
              </w:rPr>
            </w:pPr>
            <w:r>
              <w:rPr>
                <w:rFonts w:hint="eastAsia" w:ascii="仿宋_GB2312" w:hAnsi="宋体" w:eastAsia="仿宋_GB2312" w:cs="Arial"/>
                <w:sz w:val="21"/>
                <w:szCs w:val="21"/>
              </w:rPr>
              <w:t>养殖场、养殖小区</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《城市市容和环境卫生管理条例》（国务院令第676号）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cs="Arial"/>
                <w:bCs/>
                <w:sz w:val="21"/>
                <w:szCs w:val="21"/>
                <w:shd w:val="clear" w:color="auto" w:fill="FFFFFF"/>
              </w:rPr>
              <w:t>第三十三条</w:t>
            </w:r>
            <w:r>
              <w:rPr>
                <w:rFonts w:hint="eastAsia" w:ascii="仿宋_GB2312" w:hAnsi="宋体" w:eastAsia="仿宋_GB2312" w:cs="Arial"/>
                <w:sz w:val="21"/>
                <w:szCs w:val="21"/>
                <w:shd w:val="clear" w:color="auto" w:fill="FFFFFF"/>
              </w:rPr>
              <w:t>　按国家行政建制设立的市的市区内，禁止饲养鸡、鸭、鹅、兔、羊、猪等家畜家禽；因教学、科研以及其他特殊需要饲养的除外。</w:t>
            </w:r>
          </w:p>
          <w:p>
            <w:pPr>
              <w:adjustRightInd/>
              <w:snapToGrid/>
              <w:spacing w:after="0"/>
              <w:contextualSpacing/>
              <w:jc w:val="both"/>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《畜禽规模养殖污染防治条例》（</w:t>
            </w:r>
            <w:r>
              <w:rPr>
                <w:rFonts w:hint="eastAsia" w:ascii="仿宋_GB2312" w:hAnsi="宋体" w:eastAsia="仿宋_GB2312"/>
                <w:sz w:val="21"/>
                <w:szCs w:val="21"/>
              </w:rPr>
              <w:t>国务院令第643号）</w:t>
            </w:r>
          </w:p>
          <w:p>
            <w:pPr>
              <w:shd w:val="clear" w:color="auto" w:fill="FFFFFF"/>
              <w:adjustRightInd/>
              <w:snapToGrid/>
              <w:spacing w:after="0"/>
              <w:contextualSpacing/>
              <w:jc w:val="both"/>
              <w:rPr>
                <w:rFonts w:hint="eastAsia" w:ascii="仿宋_GB2312" w:hAnsi="宋体" w:eastAsia="仿宋_GB2312" w:cs="Arial"/>
                <w:sz w:val="21"/>
                <w:szCs w:val="21"/>
              </w:rPr>
            </w:pPr>
            <w:r>
              <w:rPr>
                <w:rFonts w:hint="eastAsia" w:ascii="仿宋_GB2312" w:hAnsi="宋体" w:eastAsia="仿宋_GB2312" w:cs="Arial"/>
                <w:bCs/>
                <w:sz w:val="21"/>
                <w:szCs w:val="21"/>
              </w:rPr>
              <w:t>第十一条</w:t>
            </w:r>
            <w:r>
              <w:rPr>
                <w:rFonts w:hint="eastAsia" w:ascii="宋体" w:hAnsi="宋体" w:eastAsia="仿宋_GB2312" w:cs="Arial"/>
                <w:sz w:val="21"/>
                <w:szCs w:val="21"/>
              </w:rPr>
              <w:t> </w:t>
            </w:r>
            <w:r>
              <w:rPr>
                <w:rFonts w:hint="eastAsia" w:ascii="仿宋_GB2312" w:hAnsi="宋体" w:eastAsia="仿宋_GB2312" w:cs="Arial"/>
                <w:sz w:val="21"/>
                <w:szCs w:val="21"/>
              </w:rPr>
              <w:t>禁止在下列区域内建设畜禽养殖场、养殖小区：</w:t>
            </w:r>
          </w:p>
          <w:p>
            <w:pPr>
              <w:shd w:val="clear" w:color="auto" w:fill="FFFFFF"/>
              <w:adjustRightInd/>
              <w:snapToGrid/>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（一）饮用水水源保护区，风景名胜区；</w:t>
            </w:r>
          </w:p>
          <w:p>
            <w:pPr>
              <w:shd w:val="clear" w:color="auto" w:fill="FFFFFF"/>
              <w:adjustRightInd/>
              <w:snapToGrid/>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（二）自然保护区的核心区和缓冲区；</w:t>
            </w:r>
          </w:p>
          <w:p>
            <w:pPr>
              <w:shd w:val="clear" w:color="auto" w:fill="FFFFFF"/>
              <w:adjustRightInd/>
              <w:snapToGrid/>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（三）城镇居民区、文化教育科学研究区等人口集中区域；</w:t>
            </w:r>
          </w:p>
          <w:p>
            <w:pPr>
              <w:shd w:val="clear" w:color="auto" w:fill="FFFFFF"/>
              <w:adjustRightInd/>
              <w:snapToGrid/>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（四）法律、法规规定的其他禁止养殖区域。</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10</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在居住场所同一建筑物内及居住场所安全距离内生产、储存、经营</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cs="Arial"/>
                <w:sz w:val="21"/>
                <w:szCs w:val="21"/>
                <w:shd w:val="clear" w:color="auto" w:fill="FFFFFF"/>
              </w:rPr>
              <w:t>易燃易爆危险品</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《中华人民共和国消防法》（中华人民共和国主席令第6号）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cs="Arial"/>
                <w:sz w:val="21"/>
                <w:szCs w:val="21"/>
                <w:shd w:val="clear" w:color="auto" w:fill="FFFFFF"/>
              </w:rPr>
              <w:t>第十九条 生产、储存、经营易燃易爆危险品的场所不得与居住场所设置在同一建筑物内，并应当与居住场所保持安全距离。</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11</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在人民防空工程内生产、储存爆炸、剧毒、易燃、放射性和</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腐蚀性物品</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《中华人民共和国人民防空法》（中华人民共和国主席令第18号）</w:t>
            </w:r>
          </w:p>
          <w:p>
            <w:pPr>
              <w:adjustRightInd/>
              <w:snapToGrid/>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第二十七条  任何组织或者个人不得进行影响人民防空工程使用或者降低人民防空工程防护能力的作业，不得向人民防空工程内排入废水、废气和倾倒废弃物，</w:t>
            </w:r>
            <w:r>
              <w:rPr>
                <w:rFonts w:hint="eastAsia" w:ascii="仿宋_GB2312" w:hAnsi="宋体" w:eastAsia="仿宋_GB2312" w:cs="Arial"/>
                <w:sz w:val="21"/>
                <w:szCs w:val="21"/>
                <w:shd w:val="clear" w:color="auto" w:fill="FFFFFF"/>
              </w:rPr>
              <w:t>不得在人民防空工程内生产、储存爆炸、剧毒、易燃、放射性和腐蚀性物品。</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12</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shd w:val="clear" w:color="auto" w:fill="FFFFFF"/>
              </w:rPr>
              <w:t>在市区内布设烟花爆竹批发场所；在其他烟花爆竹零售点50米内，在</w:t>
            </w:r>
            <w:r>
              <w:rPr>
                <w:rFonts w:hint="eastAsia" w:ascii="仿宋_GB2312" w:hAnsi="宋体" w:eastAsia="仿宋_GB2312" w:cs="Arial"/>
                <w:sz w:val="21"/>
                <w:szCs w:val="21"/>
                <w:shd w:val="clear" w:color="auto" w:fill="FFFFFF"/>
              </w:rPr>
              <w:t>学校、幼儿园、医院、集贸市场等人员密集场所和加油站等易燃易爆物品生产、储存设施等重点建筑物100米内从事烟花爆竹零售</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outlineLvl w:val="0"/>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《烟花爆竹安全管理</w:t>
            </w: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HYPERLINK "https://baike.baidu.com/item/%E6%9D%A1%E4%BE%8B" \t "_blank"</w:instrText>
            </w:r>
            <w:r>
              <w:rPr>
                <w:rFonts w:hint="eastAsia" w:ascii="仿宋_GB2312" w:hAnsi="宋体" w:eastAsia="仿宋_GB2312"/>
                <w:sz w:val="21"/>
                <w:szCs w:val="21"/>
              </w:rPr>
              <w:fldChar w:fldCharType="separate"/>
            </w:r>
            <w:r>
              <w:rPr>
                <w:rStyle w:val="12"/>
                <w:rFonts w:hint="eastAsia" w:ascii="仿宋_GB2312" w:hAnsi="宋体" w:eastAsia="仿宋_GB2312" w:cs="Arial"/>
                <w:color w:val="auto"/>
                <w:sz w:val="21"/>
                <w:szCs w:val="21"/>
                <w:u w:val="none"/>
                <w:shd w:val="clear" w:color="auto" w:fill="FFFFFF"/>
              </w:rPr>
              <w:t>条例</w:t>
            </w:r>
            <w:r>
              <w:rPr>
                <w:rFonts w:hint="eastAsia" w:ascii="仿宋_GB2312" w:hAnsi="宋体" w:eastAsia="仿宋_GB2312"/>
                <w:sz w:val="21"/>
                <w:szCs w:val="21"/>
              </w:rPr>
              <w:fldChar w:fldCharType="end"/>
            </w:r>
            <w:r>
              <w:rPr>
                <w:rFonts w:hint="eastAsia" w:ascii="仿宋_GB2312" w:hAnsi="宋体" w:eastAsia="仿宋_GB2312" w:cs="Arial"/>
                <w:sz w:val="21"/>
                <w:szCs w:val="21"/>
                <w:shd w:val="clear" w:color="auto" w:fill="FFFFFF"/>
              </w:rPr>
              <w:t>》（</w:t>
            </w:r>
            <w:r>
              <w:rPr>
                <w:rFonts w:hint="eastAsia" w:ascii="仿宋_GB2312" w:hAnsi="宋体" w:eastAsia="仿宋_GB2312"/>
                <w:sz w:val="21"/>
                <w:szCs w:val="21"/>
              </w:rPr>
              <w:t>国务院令第666号</w:t>
            </w:r>
            <w:r>
              <w:rPr>
                <w:rFonts w:hint="eastAsia" w:ascii="仿宋_GB2312" w:hAnsi="宋体" w:eastAsia="仿宋_GB2312" w:cs="Arial"/>
                <w:sz w:val="21"/>
                <w:szCs w:val="21"/>
                <w:shd w:val="clear" w:color="auto" w:fill="FFFFFF"/>
              </w:rPr>
              <w:t>）</w:t>
            </w:r>
          </w:p>
          <w:p>
            <w:pPr>
              <w:adjustRightInd/>
              <w:snapToGrid/>
              <w:spacing w:after="0"/>
              <w:contextualSpacing/>
              <w:jc w:val="both"/>
              <w:outlineLvl w:val="0"/>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第十六条  禁止在城市市区布设烟花爆竹批发场所</w:t>
            </w:r>
          </w:p>
          <w:p>
            <w:pPr>
              <w:adjustRightInd/>
              <w:snapToGrid/>
              <w:spacing w:after="0"/>
              <w:contextualSpacing/>
              <w:jc w:val="both"/>
              <w:outlineLvl w:val="0"/>
              <w:rPr>
                <w:rFonts w:hint="eastAsia" w:ascii="仿宋_GB2312" w:hAnsi="宋体" w:eastAsia="仿宋_GB2312" w:cs="宋体"/>
                <w:bCs/>
                <w:kern w:val="36"/>
                <w:sz w:val="21"/>
                <w:szCs w:val="21"/>
              </w:rPr>
            </w:pPr>
            <w:r>
              <w:rPr>
                <w:rFonts w:hint="eastAsia" w:ascii="仿宋_GB2312" w:hAnsi="宋体" w:eastAsia="仿宋_GB2312" w:cs="宋体"/>
                <w:bCs/>
                <w:kern w:val="36"/>
                <w:sz w:val="21"/>
                <w:szCs w:val="21"/>
              </w:rPr>
              <w:t>《烟花爆竹经营许可实施办法》（</w:t>
            </w:r>
            <w:r>
              <w:rPr>
                <w:rFonts w:hint="eastAsia" w:ascii="仿宋_GB2312" w:hAnsi="宋体" w:eastAsia="仿宋_GB2312" w:cs="Arial"/>
                <w:sz w:val="21"/>
                <w:szCs w:val="21"/>
                <w:shd w:val="clear" w:color="auto" w:fill="FFFFFF"/>
              </w:rPr>
              <w:t>国家安全生产监督管理总局令第65号）</w:t>
            </w:r>
          </w:p>
          <w:p>
            <w:pPr>
              <w:adjustRightInd/>
              <w:snapToGrid/>
              <w:spacing w:after="0"/>
              <w:contextualSpacing/>
              <w:jc w:val="both"/>
              <w:outlineLvl w:val="0"/>
              <w:rPr>
                <w:rFonts w:hint="eastAsia" w:ascii="仿宋_GB2312" w:hAnsi="宋体" w:eastAsia="仿宋_GB2312" w:cs="宋体"/>
                <w:bCs/>
                <w:kern w:val="36"/>
                <w:sz w:val="21"/>
                <w:szCs w:val="21"/>
              </w:rPr>
            </w:pPr>
            <w:r>
              <w:rPr>
                <w:rFonts w:hint="eastAsia" w:ascii="仿宋_GB2312" w:hAnsi="宋体" w:eastAsia="仿宋_GB2312" w:cs="宋体"/>
                <w:bCs/>
                <w:kern w:val="36"/>
                <w:sz w:val="21"/>
                <w:szCs w:val="21"/>
              </w:rPr>
              <w:t xml:space="preserve">第十六条  </w:t>
            </w:r>
            <w:r>
              <w:rPr>
                <w:rFonts w:hint="eastAsia" w:ascii="仿宋_GB2312" w:hAnsi="宋体" w:eastAsia="仿宋_GB2312" w:cs="Arial"/>
                <w:sz w:val="21"/>
                <w:szCs w:val="21"/>
                <w:shd w:val="clear" w:color="auto" w:fill="FFFFFF"/>
              </w:rPr>
              <w:t>零售经营者应当符合下列条件：</w:t>
            </w:r>
          </w:p>
          <w:p>
            <w:pPr>
              <w:adjustRightInd/>
              <w:snapToGrid/>
              <w:spacing w:after="0"/>
              <w:contextualSpacing/>
              <w:jc w:val="both"/>
              <w:outlineLvl w:val="0"/>
              <w:rPr>
                <w:rFonts w:hint="eastAsia" w:ascii="仿宋_GB2312" w:hAnsi="宋体" w:eastAsia="仿宋_GB2312"/>
                <w:sz w:val="21"/>
                <w:szCs w:val="21"/>
              </w:rPr>
            </w:pPr>
            <w:r>
              <w:rPr>
                <w:rFonts w:hint="eastAsia" w:ascii="仿宋_GB2312" w:hAnsi="宋体" w:eastAsia="仿宋_GB2312" w:cs="Arial"/>
                <w:sz w:val="21"/>
                <w:szCs w:val="21"/>
                <w:shd w:val="clear" w:color="auto" w:fill="FFFFFF"/>
              </w:rPr>
              <w:t>（四）零售场所的面积不小于10平方米，其周边50米范围内没有其他烟花爆竹零售点，并与学校、幼儿园、医院、集贸市场等人员密集场所和加油站等易燃易爆物品生产、储存设施等重点建筑物保持100米以上的安全距离</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13</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shd w:val="clear" w:color="auto" w:fill="FFFFFF"/>
              </w:rPr>
            </w:pPr>
            <w:r>
              <w:rPr>
                <w:rFonts w:hint="eastAsia" w:ascii="仿宋_GB2312" w:hAnsi="宋体" w:eastAsia="仿宋_GB2312" w:cs="Arial"/>
                <w:sz w:val="21"/>
                <w:szCs w:val="21"/>
                <w:shd w:val="clear" w:color="auto" w:fill="FFFFFF"/>
              </w:rPr>
              <w:t>在历史建筑、公园等公共资源中设立私人会所</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outlineLvl w:val="0"/>
              <w:rPr>
                <w:rFonts w:hint="eastAsia" w:ascii="仿宋_GB2312" w:hAnsi="宋体" w:eastAsia="仿宋_GB2312" w:cs="Arial"/>
                <w:sz w:val="21"/>
                <w:szCs w:val="21"/>
                <w:shd w:val="clear" w:color="auto" w:fill="FFFFFF"/>
              </w:rPr>
            </w:pPr>
            <w:r>
              <w:rPr>
                <w:rFonts w:hint="eastAsia" w:ascii="仿宋_GB2312" w:hAnsi="宋体" w:eastAsia="仿宋_GB2312"/>
                <w:sz w:val="21"/>
                <w:szCs w:val="21"/>
              </w:rPr>
              <w:t>《中共中央办公厅 国务院办公厅转发住房城乡建设部等部门&lt;关于严禁在历史建筑、公园等公共资源中设立私人会所的暂行规定&gt;的通知》（厅字〔2014〕52号）</w:t>
            </w:r>
          </w:p>
          <w:p>
            <w:pPr>
              <w:adjustRightInd/>
              <w:snapToGrid/>
              <w:spacing w:after="0"/>
              <w:contextualSpacing/>
              <w:jc w:val="both"/>
              <w:outlineLvl w:val="0"/>
              <w:rPr>
                <w:rFonts w:hint="eastAsia" w:ascii="仿宋_GB2312" w:hAnsi="宋体" w:eastAsia="仿宋_GB2312" w:cs="宋体"/>
                <w:bCs/>
                <w:kern w:val="36"/>
                <w:sz w:val="21"/>
                <w:szCs w:val="21"/>
              </w:rPr>
            </w:pPr>
            <w:r>
              <w:rPr>
                <w:rFonts w:hint="eastAsia" w:ascii="仿宋_GB2312" w:hAnsi="宋体" w:eastAsia="仿宋_GB2312" w:cs="Arial"/>
                <w:sz w:val="21"/>
                <w:szCs w:val="21"/>
                <w:shd w:val="clear" w:color="auto" w:fill="FFFFFF"/>
              </w:rPr>
              <w:t>第三条  严禁在历史建筑、公园等公共资源中以自建、租赁、承包、转让、出借、抵押、买断、合资、合作等形式设立私人会所。</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14</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在划定的自然保护区、风景名胜区、饮用水水源保护区、基本农田保护区和其他需要特别保护的区域内，建设工业固体废物集中贮存、</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处置的设施、场所和</w:t>
            </w:r>
          </w:p>
          <w:p>
            <w:pPr>
              <w:adjustRightInd/>
              <w:snapToGrid/>
              <w:spacing w:after="0"/>
              <w:contextualSpacing/>
              <w:jc w:val="center"/>
              <w:rPr>
                <w:rFonts w:hint="eastAsia" w:ascii="仿宋_GB2312" w:hAnsi="宋体" w:eastAsia="仿宋_GB2312" w:cs="Arial"/>
                <w:sz w:val="21"/>
                <w:szCs w:val="21"/>
                <w:shd w:val="clear" w:color="auto" w:fill="FFFFFF"/>
              </w:rPr>
            </w:pPr>
            <w:r>
              <w:rPr>
                <w:rFonts w:hint="eastAsia" w:ascii="仿宋_GB2312" w:hAnsi="宋体" w:eastAsia="仿宋_GB2312"/>
                <w:sz w:val="21"/>
                <w:szCs w:val="21"/>
              </w:rPr>
              <w:t>生活垃圾填埋场</w:t>
            </w:r>
          </w:p>
        </w:tc>
        <w:tc>
          <w:tcPr>
            <w:tcW w:w="10888" w:type="dxa"/>
            <w:shd w:val="clear" w:color="auto" w:fill="auto"/>
            <w:noWrap w:val="0"/>
            <w:tcMar>
              <w:top w:w="0" w:type="dxa"/>
              <w:left w:w="105" w:type="dxa"/>
              <w:bottom w:w="0" w:type="dxa"/>
              <w:right w:w="105" w:type="dxa"/>
            </w:tcMar>
            <w:vAlign w:val="center"/>
          </w:tcPr>
          <w:p>
            <w:pPr>
              <w:adjustRightInd/>
              <w:snapToGrid/>
              <w:spacing w:after="0"/>
              <w:contextualSpacing/>
              <w:jc w:val="both"/>
              <w:outlineLvl w:val="0"/>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《中华人民共和国固体废物污染环境防治法》（</w:t>
            </w:r>
            <w:r>
              <w:rPr>
                <w:rFonts w:hint="eastAsia" w:ascii="仿宋_GB2312" w:hAnsi="宋体" w:eastAsia="仿宋_GB2312"/>
                <w:sz w:val="21"/>
                <w:szCs w:val="21"/>
              </w:rPr>
              <w:t>中华人民共和国主席令第57号</w:t>
            </w:r>
            <w:r>
              <w:rPr>
                <w:rFonts w:hint="eastAsia" w:ascii="仿宋_GB2312" w:hAnsi="宋体" w:eastAsia="仿宋_GB2312" w:cs="Arial"/>
                <w:sz w:val="21"/>
                <w:szCs w:val="21"/>
                <w:shd w:val="clear" w:color="auto" w:fill="FFFFFF"/>
              </w:rPr>
              <w:t>）</w:t>
            </w:r>
          </w:p>
          <w:p>
            <w:pPr>
              <w:adjustRightInd/>
              <w:snapToGrid/>
              <w:spacing w:after="0"/>
              <w:contextualSpacing/>
              <w:jc w:val="both"/>
              <w:outlineLvl w:val="0"/>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 xml:space="preserve">第二十二条  </w:t>
            </w:r>
            <w:r>
              <w:rPr>
                <w:rFonts w:hint="eastAsia" w:ascii="仿宋_GB2312" w:hAnsi="宋体" w:eastAsia="仿宋_GB2312"/>
                <w:sz w:val="21"/>
                <w:szCs w:val="21"/>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15</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在污染源、危险源</w:t>
            </w:r>
          </w:p>
          <w:p>
            <w:pPr>
              <w:adjustRightInd/>
              <w:snapToGrid/>
              <w:spacing w:after="0"/>
              <w:contextualSpacing/>
              <w:jc w:val="center"/>
              <w:rPr>
                <w:rFonts w:hint="eastAsia" w:ascii="仿宋_GB2312" w:hAnsi="宋体" w:eastAsia="仿宋_GB2312" w:cs="Arial"/>
                <w:sz w:val="21"/>
                <w:szCs w:val="21"/>
                <w:shd w:val="clear" w:color="auto" w:fill="FFFFFF"/>
              </w:rPr>
            </w:pPr>
            <w:r>
              <w:rPr>
                <w:rFonts w:hint="eastAsia" w:ascii="仿宋_GB2312" w:hAnsi="宋体" w:eastAsia="仿宋_GB2312" w:cs="Arial"/>
                <w:sz w:val="21"/>
                <w:szCs w:val="21"/>
                <w:shd w:val="clear" w:color="auto" w:fill="FFFFFF"/>
              </w:rPr>
              <w:t>附近从事粮油仓储</w:t>
            </w:r>
          </w:p>
        </w:tc>
        <w:tc>
          <w:tcPr>
            <w:tcW w:w="10888" w:type="dxa"/>
            <w:shd w:val="clear" w:color="auto" w:fill="auto"/>
            <w:noWrap w:val="0"/>
            <w:tcMar>
              <w:top w:w="0" w:type="dxa"/>
              <w:left w:w="105" w:type="dxa"/>
              <w:bottom w:w="0" w:type="dxa"/>
              <w:right w:w="105" w:type="dxa"/>
            </w:tcMar>
            <w:vAlign w:val="center"/>
          </w:tcPr>
          <w:p>
            <w:pPr>
              <w:shd w:val="clear" w:color="auto" w:fill="FFFFFF"/>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shd w:val="clear" w:color="auto" w:fill="FFFFFF"/>
              </w:rPr>
              <w:t>《</w:t>
            </w:r>
            <w:r>
              <w:rPr>
                <w:rStyle w:val="11"/>
                <w:rFonts w:hint="eastAsia" w:ascii="仿宋_GB2312" w:hAnsi="宋体" w:eastAsia="仿宋_GB2312" w:cs="Arial"/>
                <w:i w:val="0"/>
                <w:iCs w:val="0"/>
                <w:sz w:val="21"/>
                <w:szCs w:val="21"/>
                <w:shd w:val="clear" w:color="auto" w:fill="FFFFFF"/>
              </w:rPr>
              <w:t>粮油仓储管理办法</w:t>
            </w:r>
            <w:r>
              <w:rPr>
                <w:rFonts w:hint="eastAsia" w:ascii="仿宋_GB2312" w:hAnsi="宋体" w:eastAsia="仿宋_GB2312" w:cs="Arial"/>
                <w:sz w:val="21"/>
                <w:szCs w:val="21"/>
                <w:shd w:val="clear" w:color="auto" w:fill="FFFFFF"/>
              </w:rPr>
              <w:t>》（</w:t>
            </w:r>
            <w:r>
              <w:rPr>
                <w:rFonts w:hint="eastAsia" w:ascii="仿宋_GB2312" w:hAnsi="宋体" w:eastAsia="仿宋_GB2312"/>
                <w:sz w:val="21"/>
                <w:szCs w:val="21"/>
              </w:rPr>
              <w:t>国家发展和改革委员会令第5号</w:t>
            </w:r>
            <w:r>
              <w:rPr>
                <w:rFonts w:hint="eastAsia" w:ascii="仿宋_GB2312" w:hAnsi="宋体" w:eastAsia="仿宋_GB2312" w:cs="Arial"/>
                <w:sz w:val="21"/>
                <w:szCs w:val="21"/>
                <w:shd w:val="clear" w:color="auto" w:fill="FFFFFF"/>
              </w:rPr>
              <w:t>）</w:t>
            </w:r>
          </w:p>
          <w:p>
            <w:pPr>
              <w:shd w:val="clear" w:color="auto" w:fill="FFFFFF"/>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附件一：粮油仓储单位的固定经营场地至污染源、危险源的距离应当满足以下要求：</w:t>
            </w:r>
          </w:p>
          <w:p>
            <w:pPr>
              <w:shd w:val="clear" w:color="auto" w:fill="FFFFFF"/>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一、距有害元素的矿山、炼焦、炼油、煤气、化工（包括有毒化合物的生产）、塑料、</w:t>
            </w:r>
            <w:r>
              <w:rPr>
                <w:rFonts w:hint="eastAsia" w:ascii="仿宋_GB2312" w:hAnsi="宋体" w:eastAsia="仿宋_GB2312"/>
                <w:sz w:val="21"/>
                <w:szCs w:val="21"/>
              </w:rPr>
              <w:fldChar w:fldCharType="begin"/>
            </w:r>
            <w:r>
              <w:rPr>
                <w:rFonts w:hint="eastAsia" w:ascii="仿宋_GB2312" w:hAnsi="宋体" w:eastAsia="仿宋_GB2312"/>
                <w:sz w:val="21"/>
                <w:szCs w:val="21"/>
              </w:rPr>
              <w:instrText xml:space="preserve">HYPERLINK "https://baike.baidu.com/item/%E6%A9%A1%E8%83%B6%E5%88%B6%E5%93%81/9960197" \t "_blank"</w:instrText>
            </w:r>
            <w:r>
              <w:rPr>
                <w:rFonts w:hint="eastAsia" w:ascii="仿宋_GB2312" w:hAnsi="宋体" w:eastAsia="仿宋_GB2312"/>
                <w:sz w:val="21"/>
                <w:szCs w:val="21"/>
              </w:rPr>
              <w:fldChar w:fldCharType="separate"/>
            </w:r>
            <w:r>
              <w:rPr>
                <w:rStyle w:val="12"/>
                <w:rFonts w:hint="eastAsia" w:ascii="仿宋_GB2312" w:hAnsi="宋体" w:eastAsia="仿宋_GB2312" w:cs="Arial"/>
                <w:color w:val="auto"/>
                <w:sz w:val="21"/>
                <w:szCs w:val="21"/>
                <w:u w:val="none"/>
              </w:rPr>
              <w:t>橡胶制品</w:t>
            </w:r>
            <w:r>
              <w:rPr>
                <w:rFonts w:hint="eastAsia" w:ascii="仿宋_GB2312" w:hAnsi="宋体" w:eastAsia="仿宋_GB2312"/>
                <w:sz w:val="21"/>
                <w:szCs w:val="21"/>
              </w:rPr>
              <w:fldChar w:fldCharType="end"/>
            </w:r>
            <w:r>
              <w:rPr>
                <w:rFonts w:hint="eastAsia" w:ascii="仿宋_GB2312" w:hAnsi="宋体" w:eastAsia="仿宋_GB2312" w:cs="Arial"/>
                <w:sz w:val="21"/>
                <w:szCs w:val="21"/>
              </w:rPr>
              <w:t>及加工、人造纤维、油漆、农药、化肥等排放有毒气体的生产单位，不小于1000米；</w:t>
            </w:r>
          </w:p>
          <w:p>
            <w:pPr>
              <w:shd w:val="clear" w:color="auto" w:fill="FFFFFF"/>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二、距屠宰场、集中垃圾堆场、污水处理站等单位，不小于500米；</w:t>
            </w:r>
          </w:p>
          <w:p>
            <w:pPr>
              <w:shd w:val="clear" w:color="auto" w:fill="FFFFFF"/>
              <w:spacing w:after="0"/>
              <w:contextualSpacing/>
              <w:jc w:val="both"/>
              <w:rPr>
                <w:rFonts w:hint="eastAsia" w:ascii="仿宋_GB2312" w:hAnsi="宋体" w:eastAsia="仿宋_GB2312" w:cs="Arial"/>
                <w:sz w:val="21"/>
                <w:szCs w:val="21"/>
              </w:rPr>
            </w:pPr>
            <w:r>
              <w:rPr>
                <w:rFonts w:hint="eastAsia" w:ascii="仿宋_GB2312" w:hAnsi="宋体" w:eastAsia="仿宋_GB2312" w:cs="Arial"/>
                <w:sz w:val="21"/>
                <w:szCs w:val="21"/>
              </w:rPr>
              <w:t>三、距砖瓦厂、混凝土及石膏制品厂等粉尘污染源，不小于100米。</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0" w:hRule="atLeast"/>
        </w:trPr>
        <w:tc>
          <w:tcPr>
            <w:tcW w:w="765"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16</w:t>
            </w:r>
          </w:p>
        </w:tc>
        <w:tc>
          <w:tcPr>
            <w:tcW w:w="2310" w:type="dxa"/>
            <w:shd w:val="clear" w:color="auto" w:fill="auto"/>
            <w:noWrap w:val="0"/>
            <w:tcMar>
              <w:top w:w="0" w:type="dxa"/>
              <w:left w:w="105" w:type="dxa"/>
              <w:bottom w:w="0" w:type="dxa"/>
              <w:right w:w="105" w:type="dxa"/>
            </w:tcMar>
            <w:vAlign w:val="center"/>
          </w:tcPr>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在铁路、矿区、油田、机场、港口、施工</w:t>
            </w:r>
          </w:p>
          <w:p>
            <w:pPr>
              <w:adjustRightInd/>
              <w:snapToGrid/>
              <w:spacing w:after="0"/>
              <w:contextualSpacing/>
              <w:jc w:val="center"/>
              <w:rPr>
                <w:rFonts w:hint="eastAsia" w:ascii="仿宋_GB2312" w:hAnsi="宋体" w:eastAsia="仿宋_GB2312"/>
                <w:sz w:val="21"/>
                <w:szCs w:val="21"/>
              </w:rPr>
            </w:pPr>
            <w:r>
              <w:rPr>
                <w:rFonts w:hint="eastAsia" w:ascii="仿宋_GB2312" w:hAnsi="宋体" w:eastAsia="仿宋_GB2312"/>
                <w:sz w:val="21"/>
                <w:szCs w:val="21"/>
              </w:rPr>
              <w:t>工地、军事禁区和</w:t>
            </w:r>
          </w:p>
          <w:p>
            <w:pPr>
              <w:adjustRightInd/>
              <w:snapToGrid/>
              <w:spacing w:after="0"/>
              <w:contextualSpacing/>
              <w:jc w:val="center"/>
              <w:rPr>
                <w:rFonts w:hint="eastAsia" w:ascii="仿宋_GB2312" w:hAnsi="宋体" w:eastAsia="仿宋_GB2312" w:cs="Arial"/>
                <w:sz w:val="21"/>
                <w:szCs w:val="21"/>
                <w:shd w:val="clear" w:color="auto" w:fill="FFFFFF"/>
              </w:rPr>
            </w:pPr>
            <w:r>
              <w:rPr>
                <w:rFonts w:hint="eastAsia" w:ascii="仿宋_GB2312" w:hAnsi="宋体" w:eastAsia="仿宋_GB2312"/>
                <w:sz w:val="21"/>
                <w:szCs w:val="21"/>
              </w:rPr>
              <w:t>金属冶炼加工企业附近从事收购废旧金属</w:t>
            </w:r>
          </w:p>
        </w:tc>
        <w:tc>
          <w:tcPr>
            <w:tcW w:w="10888" w:type="dxa"/>
            <w:shd w:val="clear" w:color="auto" w:fill="auto"/>
            <w:noWrap w:val="0"/>
            <w:tcMar>
              <w:top w:w="0" w:type="dxa"/>
              <w:left w:w="105" w:type="dxa"/>
              <w:bottom w:w="0" w:type="dxa"/>
              <w:right w:w="105" w:type="dxa"/>
            </w:tcMar>
            <w:vAlign w:val="center"/>
          </w:tcPr>
          <w:p>
            <w:pPr>
              <w:shd w:val="clear" w:color="auto" w:fill="FFFFFF"/>
              <w:spacing w:after="0"/>
              <w:contextualSpacing/>
              <w:jc w:val="both"/>
              <w:rPr>
                <w:rFonts w:hint="eastAsia" w:ascii="仿宋_GB2312" w:hAnsi="宋体" w:eastAsia="仿宋_GB2312"/>
                <w:sz w:val="21"/>
                <w:szCs w:val="21"/>
              </w:rPr>
            </w:pPr>
            <w:r>
              <w:rPr>
                <w:rFonts w:hint="eastAsia" w:ascii="仿宋_GB2312" w:hAnsi="宋体" w:eastAsia="仿宋_GB2312"/>
                <w:sz w:val="21"/>
                <w:szCs w:val="21"/>
              </w:rPr>
              <w:t>《废旧金属收购业治安管理办法》（公安部令第16号）</w:t>
            </w:r>
          </w:p>
          <w:p>
            <w:pPr>
              <w:shd w:val="clear" w:color="auto" w:fill="FFFFFF"/>
              <w:spacing w:after="0"/>
              <w:contextualSpacing/>
              <w:jc w:val="both"/>
              <w:rPr>
                <w:rFonts w:hint="eastAsia" w:ascii="仿宋_GB2312" w:hAnsi="宋体" w:eastAsia="仿宋_GB2312" w:cs="Arial"/>
                <w:sz w:val="21"/>
                <w:szCs w:val="21"/>
                <w:shd w:val="clear" w:color="auto" w:fill="FFFFFF"/>
              </w:rPr>
            </w:pPr>
            <w:r>
              <w:rPr>
                <w:rFonts w:hint="eastAsia" w:ascii="仿宋_GB2312" w:hAnsi="宋体" w:eastAsia="仿宋_GB2312"/>
                <w:sz w:val="21"/>
                <w:szCs w:val="21"/>
              </w:rPr>
              <w:t>第七条　在铁路、矿区、油田、机场、港口、施工工地、军事禁区和金属冶炼加工企业附近，不得设点收购废旧金属。</w:t>
            </w:r>
          </w:p>
        </w:tc>
      </w:tr>
    </w:tbl>
    <w:p>
      <w:pPr>
        <w:spacing w:line="400" w:lineRule="exact"/>
        <w:contextualSpacing/>
        <w:rPr>
          <w:rFonts w:hint="eastAsia" w:ascii="宋体" w:hAnsi="宋体" w:eastAsia="宋体"/>
          <w:sz w:val="21"/>
          <w:szCs w:val="21"/>
        </w:rPr>
      </w:pPr>
      <w:r>
        <w:rPr>
          <w:rFonts w:ascii="宋体" w:hAnsi="宋体" w:eastAsia="宋体"/>
          <w:sz w:val="21"/>
          <w:szCs w:val="21"/>
        </w:rPr>
        <w:t> </w:t>
      </w:r>
    </w:p>
    <w:p>
      <w:pPr>
        <w:spacing w:line="400" w:lineRule="exact"/>
        <w:contextualSpacing/>
        <w:jc w:val="both"/>
        <w:rPr>
          <w:rFonts w:hint="eastAsia" w:ascii="仿宋_GB2312" w:hAnsi="宋体" w:eastAsia="仿宋_GB2312" w:cs="宋体"/>
          <w:sz w:val="28"/>
          <w:szCs w:val="28"/>
        </w:rPr>
      </w:pPr>
      <w:r>
        <w:rPr>
          <w:rFonts w:hint="eastAsia" w:ascii="仿宋_GB2312" w:hAnsi="宋体" w:eastAsia="仿宋_GB2312" w:cs="宋体"/>
          <w:sz w:val="28"/>
          <w:szCs w:val="28"/>
        </w:rPr>
        <w:t>备注：</w:t>
      </w:r>
    </w:p>
    <w:p>
      <w:pPr>
        <w:adjustRightInd/>
        <w:spacing w:after="0"/>
        <w:ind w:firstLine="420"/>
        <w:jc w:val="both"/>
        <w:rPr>
          <w:rFonts w:hint="eastAsia" w:ascii="仿宋_GB2312" w:hAnsi="宋体" w:eastAsia="仿宋_GB2312" w:cs="宋体"/>
          <w:sz w:val="28"/>
          <w:szCs w:val="28"/>
        </w:rPr>
      </w:pPr>
      <w:r>
        <w:rPr>
          <w:rFonts w:hint="eastAsia" w:ascii="仿宋_GB2312" w:hAnsi="宋体" w:eastAsia="仿宋_GB2312" w:cs="宋体"/>
          <w:sz w:val="28"/>
          <w:szCs w:val="28"/>
        </w:rPr>
        <w:t>1、登记机关在办理登记注册时，应当告知商事主体《负面清单》所列禁设区域，并由商事主体承诺不以所列禁设区域的场所作为住所（经营场所）。</w:t>
      </w:r>
    </w:p>
    <w:p>
      <w:pPr>
        <w:adjustRightInd/>
        <w:spacing w:after="0"/>
        <w:ind w:firstLine="420"/>
        <w:jc w:val="both"/>
        <w:rPr>
          <w:rFonts w:hint="eastAsia" w:ascii="仿宋_GB2312" w:hAnsi="宋体" w:eastAsia="仿宋_GB2312" w:cs="宋体"/>
          <w:sz w:val="28"/>
          <w:szCs w:val="28"/>
        </w:rPr>
      </w:pPr>
      <w:r>
        <w:rPr>
          <w:rFonts w:hint="eastAsia" w:ascii="仿宋_GB2312" w:hAnsi="宋体" w:eastAsia="仿宋_GB2312" w:cs="宋体"/>
          <w:sz w:val="28"/>
          <w:szCs w:val="28"/>
        </w:rPr>
        <w:t>2、《负面清单》实行动态管理。相关行政许可部门应当依据法律、法规以及有关产业政策、城乡规划、商业网点布局等政策文件，定期对经营场所禁设区域进行梳理，报市政府同意后公布。</w:t>
      </w:r>
    </w:p>
    <w:p>
      <w:pPr>
        <w:numPr>
          <w:ilvl w:val="0"/>
          <w:numId w:val="0"/>
        </w:numPr>
        <w:ind w:firstLine="640" w:firstLineChars="200"/>
        <w:rPr>
          <w:rFonts w:hint="eastAsia"/>
          <w:lang w:val="en-US" w:eastAsia="zh-CN"/>
        </w:rPr>
      </w:pPr>
    </w:p>
    <w:p>
      <w:pPr>
        <w:numPr>
          <w:ilvl w:val="0"/>
          <w:numId w:val="0"/>
        </w:numPr>
        <w:ind w:firstLine="640" w:firstLineChars="200"/>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1E507"/>
    <w:multiLevelType w:val="singleLevel"/>
    <w:tmpl w:val="1EF1E5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WFiODE3ZTg0NzljYzZkOTRmOTE1ZjQ4ZDQzYTUifQ=="/>
  </w:docVars>
  <w:rsids>
    <w:rsidRoot w:val="1EBE1BAB"/>
    <w:rsid w:val="0FF84BE0"/>
    <w:rsid w:val="11047F72"/>
    <w:rsid w:val="139F590B"/>
    <w:rsid w:val="15A11A8A"/>
    <w:rsid w:val="1CA64748"/>
    <w:rsid w:val="1D4F4298"/>
    <w:rsid w:val="1EBE1BAB"/>
    <w:rsid w:val="217E6851"/>
    <w:rsid w:val="21E85282"/>
    <w:rsid w:val="24BB0F93"/>
    <w:rsid w:val="25827E99"/>
    <w:rsid w:val="29C91842"/>
    <w:rsid w:val="2DAD5D75"/>
    <w:rsid w:val="2FD15AB2"/>
    <w:rsid w:val="3BED03E2"/>
    <w:rsid w:val="48482A6F"/>
    <w:rsid w:val="4D277510"/>
    <w:rsid w:val="52867ABD"/>
    <w:rsid w:val="6CD67880"/>
    <w:rsid w:val="77E9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仿宋" w:asciiTheme="minorHAnsi" w:hAnsiTheme="minorHAnsi"/>
      <w:kern w:val="2"/>
      <w:sz w:val="32"/>
      <w:szCs w:val="32"/>
      <w:lang w:val="en-US" w:eastAsia="zh-CN" w:bidi="ar-SA"/>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Cs/>
      <w:sz w:val="32"/>
      <w:szCs w:val="32"/>
    </w:rPr>
  </w:style>
  <w:style w:type="paragraph" w:styleId="4">
    <w:name w:val="footer"/>
    <w:basedOn w:val="1"/>
    <w:semiHidden/>
    <w:uiPriority w:val="0"/>
    <w:pPr>
      <w:tabs>
        <w:tab w:val="center" w:pos="4153"/>
        <w:tab w:val="right" w:pos="8306"/>
      </w:tabs>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uiPriority w:val="0"/>
    <w:rPr>
      <w:rFonts w:cs="Times New Roman"/>
      <w:i/>
      <w:iCs/>
    </w:rPr>
  </w:style>
  <w:style w:type="character" w:styleId="12">
    <w:name w:val="Hyperlink"/>
    <w:basedOn w:val="9"/>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4944</Words>
  <Characters>5030</Characters>
  <Lines>0</Lines>
  <Paragraphs>0</Paragraphs>
  <TotalTime>95</TotalTime>
  <ScaleCrop>false</ScaleCrop>
  <LinksUpToDate>false</LinksUpToDate>
  <CharactersWithSpaces>5302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2023-03-15T08:02:00Z</dcterms:created>
  <dc:creator>微笑人生</dc:creator>
  <cp:lastModifiedBy>微笑人生</cp:lastModifiedBy>
  <cp:lastPrinted>2023-03-17T07:31:38Z</cp:lastPrinted>
  <dcterms:modified xsi:type="dcterms:W3CDTF">2023-03-17T07:57:43Z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434663B2BFDF428296CEDEC8EFB8DE74</vt:lpwstr>
  </property>
</Properties>
</file>