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5.1.0 -->
  <w:body>
    <w:p w:rsidR="00AD4AA5" w:rsidRPr="00AD4AA5" w:rsidP="00AD4AA5">
      <w:pPr>
        <w:widowControl/>
        <w:shd w:val="clear" w:color="auto" w:fill="FFFFFF"/>
        <w:spacing w:line="600" w:lineRule="exact"/>
        <w:jc w:val="center"/>
        <w:rPr>
          <w:rFonts w:ascii="方正大标宋_GBK" w:eastAsia="方正大标宋_GBK" w:hAnsi="微软雅黑" w:cs="宋体"/>
          <w:color w:val="333333"/>
          <w:kern w:val="36"/>
          <w:sz w:val="46"/>
          <w:szCs w:val="46"/>
        </w:rPr>
      </w:pPr>
      <w:r w:rsidRPr="00AD4AA5">
        <w:rPr>
          <w:rFonts w:ascii="方正大标宋_GBK" w:eastAsia="方正大标宋_GBK" w:hAnsi="微软雅黑" w:cs="宋体" w:hint="eastAsia"/>
          <w:color w:val="333333"/>
          <w:kern w:val="36"/>
          <w:sz w:val="46"/>
          <w:szCs w:val="46"/>
        </w:rPr>
        <w:t>【本级公共服务事项清单】——寿县卫生健康委员会公共服务清单（</w:t>
      </w:r>
      <w:r w:rsidR="007337F4">
        <w:rPr>
          <w:rFonts w:ascii="方正大标宋_GBK" w:eastAsia="方正大标宋_GBK" w:hAnsi="微软雅黑" w:cs="宋体" w:hint="eastAsia"/>
          <w:color w:val="333333"/>
          <w:kern w:val="36"/>
          <w:sz w:val="46"/>
          <w:szCs w:val="46"/>
        </w:rPr>
        <w:t>2022</w:t>
      </w:r>
      <w:r w:rsidRPr="00AD4AA5">
        <w:rPr>
          <w:rFonts w:ascii="方正大标宋_GBK" w:eastAsia="方正大标宋_GBK" w:hAnsi="微软雅黑" w:cs="宋体" w:hint="eastAsia"/>
          <w:color w:val="333333"/>
          <w:kern w:val="36"/>
          <w:sz w:val="46"/>
          <w:szCs w:val="46"/>
        </w:rPr>
        <w:t>年版）</w:t>
      </w:r>
    </w:p>
    <w:p w:rsidR="00A10F68"/>
    <w:tbl>
      <w:tblPr>
        <w:tblW w:w="151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696"/>
        <w:gridCol w:w="1418"/>
        <w:gridCol w:w="992"/>
        <w:gridCol w:w="8700"/>
        <w:gridCol w:w="1359"/>
        <w:gridCol w:w="1944"/>
      </w:tblGrid>
      <w:tr w:rsidTr="00FA5C5A">
        <w:tblPrEx>
          <w:tblW w:w="15109" w:type="dxa"/>
          <w:jc w:val="center"/>
          <w:shd w:val="clear" w:color="auto" w:fill="FFFFFF"/>
          <w:tblLook w:val="04A0"/>
        </w:tblPrEx>
        <w:trPr>
          <w:trHeight w:val="510"/>
          <w:tblHeader/>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黑体" w:eastAsia="黑体" w:hAnsi="黑体" w:cs="宋体"/>
                <w:color w:val="000000"/>
                <w:kern w:val="0"/>
                <w:sz w:val="22"/>
              </w:rPr>
            </w:pPr>
            <w:r w:rsidRPr="00AD4AA5">
              <w:rPr>
                <w:rFonts w:ascii="黑体" w:eastAsia="黑体" w:hAnsi="黑体" w:cs="宋体" w:hint="eastAsia"/>
                <w:color w:val="000000"/>
                <w:kern w:val="0"/>
                <w:sz w:val="22"/>
              </w:rPr>
              <w:t>序号</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黑体" w:eastAsia="黑体" w:hAnsi="黑体" w:cs="宋体"/>
                <w:color w:val="000000"/>
                <w:kern w:val="0"/>
                <w:sz w:val="22"/>
              </w:rPr>
            </w:pPr>
            <w:r w:rsidRPr="00AD4AA5">
              <w:rPr>
                <w:rFonts w:ascii="黑体" w:eastAsia="黑体" w:hAnsi="黑体" w:cs="宋体" w:hint="eastAsia"/>
                <w:color w:val="000000"/>
                <w:kern w:val="0"/>
                <w:sz w:val="22"/>
              </w:rPr>
              <w:t>事项名称</w:t>
            </w:r>
          </w:p>
        </w:tc>
        <w:tc>
          <w:tcPr>
            <w:tcW w:w="992" w:type="dxa"/>
            <w:shd w:val="clear" w:color="auto" w:fill="FFFFFF"/>
            <w:tcMar>
              <w:top w:w="12" w:type="dxa"/>
              <w:left w:w="12" w:type="dxa"/>
              <w:bottom w:w="60" w:type="dxa"/>
              <w:right w:w="12" w:type="dxa"/>
            </w:tcMar>
            <w:vAlign w:val="center"/>
          </w:tcPr>
          <w:p w:rsidR="00481B78" w:rsidRPr="00AD4AA5" w:rsidP="00FA5C5A">
            <w:pPr>
              <w:widowControl/>
              <w:spacing w:line="264" w:lineRule="atLeast"/>
              <w:jc w:val="center"/>
              <w:rPr>
                <w:rFonts w:ascii="黑体" w:eastAsia="黑体" w:hAnsi="黑体" w:cs="宋体"/>
                <w:color w:val="000000"/>
                <w:kern w:val="0"/>
                <w:sz w:val="22"/>
              </w:rPr>
            </w:pPr>
            <w:r>
              <w:rPr>
                <w:rFonts w:ascii="黑体" w:eastAsia="黑体" w:hAnsi="黑体" w:cs="宋体" w:hint="eastAsia"/>
                <w:color w:val="000000"/>
                <w:kern w:val="0"/>
                <w:sz w:val="22"/>
              </w:rPr>
              <w:t>事项类别</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黑体" w:eastAsia="黑体" w:hAnsi="黑体" w:cs="宋体"/>
                <w:color w:val="000000"/>
                <w:kern w:val="0"/>
                <w:sz w:val="22"/>
              </w:rPr>
            </w:pPr>
            <w:r w:rsidRPr="00AD4AA5">
              <w:rPr>
                <w:rFonts w:ascii="黑体" w:eastAsia="黑体" w:hAnsi="黑体" w:cs="宋体" w:hint="eastAsia"/>
                <w:color w:val="000000"/>
                <w:kern w:val="0"/>
                <w:sz w:val="22"/>
              </w:rPr>
              <w:t>办理依据</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黑体" w:eastAsia="黑体" w:hAnsi="黑体" w:cs="宋体"/>
                <w:color w:val="000000"/>
                <w:kern w:val="0"/>
                <w:sz w:val="22"/>
              </w:rPr>
            </w:pPr>
            <w:r w:rsidRPr="00AD4AA5">
              <w:rPr>
                <w:rFonts w:ascii="黑体" w:eastAsia="黑体" w:hAnsi="黑体" w:cs="宋体" w:hint="eastAsia"/>
                <w:color w:val="000000"/>
                <w:kern w:val="0"/>
                <w:sz w:val="22"/>
              </w:rPr>
              <w:t>实施机构</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黑体" w:eastAsia="黑体" w:hAnsi="黑体" w:cs="宋体"/>
                <w:color w:val="000000"/>
                <w:kern w:val="0"/>
                <w:sz w:val="22"/>
              </w:rPr>
            </w:pPr>
            <w:r w:rsidRPr="00AD4AA5">
              <w:rPr>
                <w:rFonts w:ascii="黑体" w:eastAsia="黑体" w:hAnsi="黑体" w:cs="宋体" w:hint="eastAsia"/>
                <w:color w:val="000000"/>
                <w:kern w:val="0"/>
                <w:sz w:val="22"/>
              </w:rPr>
              <w:t>服务对象</w:t>
            </w:r>
          </w:p>
        </w:tc>
      </w:tr>
      <w:tr w:rsidTr="00481B78">
        <w:tblPrEx>
          <w:tblW w:w="15109" w:type="dxa"/>
          <w:jc w:val="center"/>
          <w:shd w:val="clear" w:color="auto" w:fill="FFFFFF"/>
          <w:tblLook w:val="04A0"/>
        </w:tblPrEx>
        <w:trPr>
          <w:trHeight w:val="96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1</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二级以上医疗机构医疗服务信息公开</w:t>
            </w:r>
          </w:p>
        </w:tc>
        <w:tc>
          <w:tcPr>
            <w:tcW w:w="992" w:type="dxa"/>
            <w:shd w:val="clear" w:color="auto" w:fill="FFFFFF"/>
            <w:tcMar>
              <w:top w:w="12" w:type="dxa"/>
              <w:left w:w="12" w:type="dxa"/>
              <w:bottom w:w="60" w:type="dxa"/>
              <w:right w:w="12" w:type="dxa"/>
            </w:tcMar>
          </w:tcPr>
          <w:p w:rsidR="00481B78" w:rsidRPr="00481B78"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关于建立安徽省医疗服务信息社会公开制度的通知》（皖卫政法秘〔2015〕372号）：二、公开对象，全省范围内所有二级以上医疗机构。三、公开内容，向社会公开的医疗服务信息包括医疗机构基本情况、医疗费用、医疗质量、运行效率、服务满意度和服务承诺等6个方面。</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bookmarkStart w:id="0" w:name="RANGE!D3"/>
            <w:r w:rsidRPr="00AD4AA5">
              <w:rPr>
                <w:rFonts w:asciiTheme="minorEastAsia" w:hAnsiTheme="minorEastAsia" w:cs="宋体" w:hint="eastAsia"/>
                <w:kern w:val="0"/>
                <w:sz w:val="24"/>
                <w:szCs w:val="24"/>
              </w:rPr>
              <w:t>医政医管股</w:t>
            </w:r>
            <w:bookmarkEnd w:id="0"/>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二级以上医疗机构</w:t>
            </w:r>
          </w:p>
        </w:tc>
      </w:tr>
      <w:tr w:rsidTr="00481B78">
        <w:tblPrEx>
          <w:tblW w:w="15109" w:type="dxa"/>
          <w:jc w:val="center"/>
          <w:shd w:val="clear" w:color="auto" w:fill="FFFFFF"/>
          <w:tblLook w:val="04A0"/>
        </w:tblPrEx>
        <w:trPr>
          <w:trHeight w:val="1936"/>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2</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公共卫生均等化服务政策公布</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仿宋"/>
                <w:color w:val="000000"/>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P="00AD4AA5">
            <w:pPr>
              <w:widowControl/>
              <w:spacing w:line="264" w:lineRule="atLeast"/>
              <w:jc w:val="left"/>
              <w:rPr>
                <w:rFonts w:asciiTheme="minorEastAsia" w:hAnsiTheme="minorEastAsia" w:cs="宋体"/>
                <w:color w:val="000000"/>
                <w:kern w:val="0"/>
                <w:sz w:val="24"/>
                <w:szCs w:val="24"/>
              </w:rPr>
            </w:pPr>
            <w:r w:rsidRPr="00AD4AA5">
              <w:rPr>
                <w:rFonts w:asciiTheme="minorEastAsia" w:hAnsiTheme="minorEastAsia" w:cs="仿宋" w:hint="eastAsia"/>
                <w:color w:val="000000"/>
                <w:kern w:val="0"/>
                <w:sz w:val="24"/>
                <w:szCs w:val="24"/>
              </w:rPr>
              <w:t>1.</w:t>
            </w:r>
            <w:r w:rsidRPr="00AD4AA5">
              <w:rPr>
                <w:rFonts w:asciiTheme="minorEastAsia" w:hAnsiTheme="minorEastAsia" w:cs="宋体" w:hint="eastAsia"/>
                <w:color w:val="000000"/>
                <w:kern w:val="0"/>
                <w:sz w:val="24"/>
                <w:szCs w:val="24"/>
              </w:rPr>
              <w:t>《中华人民共和国政府信息公开条例》第五条：行政机关公开政府信息，应当遵循公正、公平、便民的原则。第六条：行政机关应当及时、准确地公开政府信息。</w:t>
            </w:r>
          </w:p>
          <w:p w:rsidR="00481B78" w:rsidRPr="00AD4AA5" w:rsidP="00AD4AA5">
            <w:pPr>
              <w:widowControl/>
              <w:spacing w:line="264" w:lineRule="atLeast"/>
              <w:jc w:val="left"/>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2.国家卫生健康委、财政部、国家中医药管理局《关于做好2020年基本公共卫生服务项目工作通知》（国卫基层发〔2020〕9号），明确工作任务目标：</w:t>
            </w:r>
            <w:r w:rsidRPr="00AD4AA5">
              <w:rPr>
                <w:rFonts w:asciiTheme="minorEastAsia" w:hAnsiTheme="minorEastAsia" w:cs="宋体" w:hint="eastAsia"/>
                <w:color w:val="000000"/>
                <w:kern w:val="0"/>
                <w:sz w:val="24"/>
                <w:szCs w:val="24"/>
              </w:rPr>
              <w:br/>
              <w:t>——居民电子健康档案建档率达90%以上；</w:t>
            </w:r>
            <w:r w:rsidRPr="00AD4AA5">
              <w:rPr>
                <w:rFonts w:asciiTheme="minorEastAsia" w:hAnsiTheme="minorEastAsia" w:cs="宋体" w:hint="eastAsia"/>
                <w:color w:val="000000"/>
                <w:kern w:val="0"/>
                <w:sz w:val="24"/>
                <w:szCs w:val="24"/>
              </w:rPr>
              <w:br/>
              <w:t>——适龄儿童国家免疫规划疫苗接种率保持在90%以上；</w:t>
            </w:r>
            <w:r w:rsidRPr="00AD4AA5">
              <w:rPr>
                <w:rFonts w:asciiTheme="minorEastAsia" w:hAnsiTheme="minorEastAsia" w:cs="宋体" w:hint="eastAsia"/>
                <w:color w:val="000000"/>
                <w:kern w:val="0"/>
                <w:sz w:val="24"/>
                <w:szCs w:val="24"/>
              </w:rPr>
              <w:br/>
              <w:t>——0-6岁儿童健康管理率达到90%以上；</w:t>
            </w:r>
            <w:r w:rsidRPr="00AD4AA5">
              <w:rPr>
                <w:rFonts w:asciiTheme="minorEastAsia" w:hAnsiTheme="minorEastAsia" w:cs="宋体" w:hint="eastAsia"/>
                <w:color w:val="000000"/>
                <w:kern w:val="0"/>
                <w:sz w:val="24"/>
                <w:szCs w:val="24"/>
              </w:rPr>
              <w:br/>
              <w:t>——孕产妇系统管理率达到90%以上；</w:t>
            </w:r>
            <w:r w:rsidRPr="00AD4AA5">
              <w:rPr>
                <w:rFonts w:asciiTheme="minorEastAsia" w:hAnsiTheme="minorEastAsia" w:cs="宋体" w:hint="eastAsia"/>
                <w:color w:val="000000"/>
                <w:kern w:val="0"/>
                <w:sz w:val="24"/>
                <w:szCs w:val="24"/>
              </w:rPr>
              <w:br/>
              <w:t>——老年人健康管理率达到70%以上；</w:t>
            </w:r>
            <w:r w:rsidRPr="00AD4AA5">
              <w:rPr>
                <w:rFonts w:asciiTheme="minorEastAsia" w:hAnsiTheme="minorEastAsia" w:cs="宋体" w:hint="eastAsia"/>
                <w:color w:val="000000"/>
                <w:kern w:val="0"/>
                <w:sz w:val="24"/>
                <w:szCs w:val="24"/>
              </w:rPr>
              <w:br/>
              <w:t>——老年人、儿童中医药健康管理率分别达到65%以上；</w:t>
            </w:r>
            <w:r w:rsidRPr="00AD4AA5">
              <w:rPr>
                <w:rFonts w:asciiTheme="minorEastAsia" w:hAnsiTheme="minorEastAsia" w:cs="宋体" w:hint="eastAsia"/>
                <w:color w:val="000000"/>
                <w:kern w:val="0"/>
                <w:sz w:val="24"/>
                <w:szCs w:val="24"/>
              </w:rPr>
              <w:br/>
              <w:t>——高血压患者人数稳步提高，规范管理率达60%以上；</w:t>
            </w:r>
            <w:r w:rsidRPr="00AD4AA5">
              <w:rPr>
                <w:rFonts w:asciiTheme="minorEastAsia" w:hAnsiTheme="minorEastAsia" w:cs="宋体" w:hint="eastAsia"/>
                <w:color w:val="000000"/>
                <w:kern w:val="0"/>
                <w:sz w:val="24"/>
                <w:szCs w:val="24"/>
              </w:rPr>
              <w:br/>
              <w:t>——2型糖尿病患者人数稳步提高，规范管理率达60%以上；</w:t>
            </w:r>
            <w:r w:rsidRPr="00AD4AA5">
              <w:rPr>
                <w:rFonts w:asciiTheme="minorEastAsia" w:hAnsiTheme="minorEastAsia" w:cs="宋体" w:hint="eastAsia"/>
                <w:color w:val="000000"/>
                <w:kern w:val="0"/>
                <w:sz w:val="24"/>
                <w:szCs w:val="24"/>
              </w:rPr>
              <w:br/>
              <w:t>——严重精神障碍患者健康管理率达到80%以；</w:t>
            </w:r>
            <w:r w:rsidRPr="00AD4AA5">
              <w:rPr>
                <w:rFonts w:asciiTheme="minorEastAsia" w:hAnsiTheme="minorEastAsia" w:cs="宋体" w:hint="eastAsia"/>
                <w:color w:val="000000"/>
                <w:kern w:val="0"/>
                <w:sz w:val="24"/>
                <w:szCs w:val="24"/>
              </w:rPr>
              <w:br/>
              <w:t>——肺结核患者管理率达到90%以上；</w:t>
            </w:r>
            <w:r w:rsidRPr="00AD4AA5">
              <w:rPr>
                <w:rFonts w:asciiTheme="minorEastAsia" w:hAnsiTheme="minorEastAsia" w:cs="宋体" w:hint="eastAsia"/>
                <w:color w:val="000000"/>
                <w:kern w:val="0"/>
                <w:sz w:val="24"/>
                <w:szCs w:val="24"/>
              </w:rPr>
              <w:br/>
              <w:t>——传染病和突发公共卫生事件报告率达95%以上；</w:t>
            </w:r>
            <w:r w:rsidRPr="00AD4AA5">
              <w:rPr>
                <w:rFonts w:asciiTheme="minorEastAsia" w:hAnsiTheme="minorEastAsia" w:cs="宋体" w:hint="eastAsia"/>
                <w:color w:val="000000"/>
                <w:kern w:val="0"/>
                <w:sz w:val="24"/>
                <w:szCs w:val="24"/>
              </w:rPr>
              <w:br/>
              <w:t>   严格按照《财政部 国家卫生健康委 国家医疗保障局 国家中医药管理局关于</w:t>
            </w:r>
            <w:r w:rsidRPr="00AD4AA5">
              <w:rPr>
                <w:rFonts w:asciiTheme="minorEastAsia" w:hAnsiTheme="minorEastAsia" w:cs="宋体" w:hint="eastAsia"/>
                <w:color w:val="000000"/>
                <w:kern w:val="0"/>
                <w:sz w:val="24"/>
                <w:szCs w:val="24"/>
              </w:rPr>
              <w:t>印发基本公共卫生服务等5项补助资金管理办法的通知》（财社〔2019〕113号）要求，确保项目经费按时足额到位，不得挤占、挪用项目经费。2020年人均基本公共卫生服务经费补助标准为74元，新增5元经费全部落实到乡村和城市社区，统筹用于社区卫生服务中心（站）、乡镇卫生院和村卫生室等基层医疗卫生机构开展新冠肺炎疫情防控等工作，加强基层疫情防控经费保障和提高疫情防控能力，强化基层卫生防疫。</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疾控应急妇幼股</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6个月以上常住人口</w:t>
            </w:r>
          </w:p>
        </w:tc>
      </w:tr>
      <w:tr w:rsidTr="00481B78">
        <w:tblPrEx>
          <w:tblW w:w="15109" w:type="dxa"/>
          <w:jc w:val="center"/>
          <w:shd w:val="clear" w:color="auto" w:fill="FFFFFF"/>
          <w:tblLook w:val="04A0"/>
        </w:tblPrEx>
        <w:trPr>
          <w:trHeight w:val="144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3</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计生家庭奖励扶助服务</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依申请类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1.《安徽省计划生育条例》第四十一条：实行农村计划生育家庭奖励扶助制度。对只有一个子女或者两个女孩的农村计划生育家庭，按照国家和省有关规定发给奖励扶助金。</w:t>
            </w:r>
            <w:r w:rsidRPr="00AD4AA5">
              <w:rPr>
                <w:rFonts w:asciiTheme="minorEastAsia" w:hAnsiTheme="minorEastAsia" w:cs="宋体" w:hint="eastAsia"/>
                <w:kern w:val="0"/>
                <w:sz w:val="24"/>
                <w:szCs w:val="24"/>
              </w:rPr>
              <w:br/>
              <w:t>2.《安徽省农村计划生育家庭奖励扶助制度管理规范》第一条：农村计划生育家庭奖励扶助制度（以下简称"奖励扶助制度"），是我国在各地现行计划生育奖励优惠政策基础上，针对农村只有一个子女或两个女孩的计划生育家庭，夫妇年满60周岁以后，由中央或地方财政安排专项资金给予奖励扶助的一项基本的计划生育奖励制度。</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人口监测与家庭发展股</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农村只有一个子女或两个女孩的计划生育家庭，夫妇年满60周岁以后，由中央或地方财政安排专项资金给予奖励扶助的一项基本的计划生育奖励制度。</w:t>
            </w:r>
          </w:p>
        </w:tc>
      </w:tr>
      <w:tr w:rsidTr="00481B78">
        <w:tblPrEx>
          <w:tblW w:w="15109" w:type="dxa"/>
          <w:jc w:val="center"/>
          <w:shd w:val="clear" w:color="auto" w:fill="FFFFFF"/>
          <w:tblLook w:val="04A0"/>
        </w:tblPrEx>
        <w:trPr>
          <w:trHeight w:val="168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4</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卫生健康宣传品免费发放</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color w:val="000000"/>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1.《健康中国2030规划纲要》关于“提高全民健康素养”强调，推进全民健康生活方式行动，强化家庭和高危个体健康生活方式指导及干预，开展健康体重、健康口腔、健康骨骼等专项行动，到2030年基本实现以县（市、区）为单位全覆盖。开发推广促进健康生活的适宜技术和用品。</w:t>
            </w:r>
            <w:r w:rsidRPr="00AD4AA5">
              <w:rPr>
                <w:rFonts w:asciiTheme="minorEastAsia" w:hAnsiTheme="minorEastAsia" w:cs="宋体" w:hint="eastAsia"/>
                <w:color w:val="000000"/>
                <w:kern w:val="0"/>
                <w:sz w:val="24"/>
                <w:szCs w:val="24"/>
              </w:rPr>
              <w:br/>
              <w:t>2.《健康中国行动（2019—2030年）》关于“健康知识普及行动”中明确要求，科学普及健康知识，提升健康素养，有助于提高居民自我健康管理能力和健康水平。</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宣传与老年健康股</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群众</w:t>
            </w:r>
          </w:p>
        </w:tc>
      </w:tr>
      <w:tr w:rsidTr="00481B78">
        <w:tblPrEx>
          <w:tblW w:w="15109" w:type="dxa"/>
          <w:jc w:val="center"/>
          <w:shd w:val="clear" w:color="auto" w:fill="FFFFFF"/>
          <w:tblLook w:val="04A0"/>
        </w:tblPrEx>
        <w:trPr>
          <w:trHeight w:val="72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5</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医师资格证遗失或损坏补办</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依申请类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w:t>
            </w:r>
            <w:r w:rsidRPr="00AD4AA5">
              <w:rPr>
                <w:rFonts w:asciiTheme="minorEastAsia" w:hAnsiTheme="minorEastAsia" w:cs="宋体" w:hint="eastAsia"/>
                <w:kern w:val="0"/>
                <w:sz w:val="24"/>
                <w:szCs w:val="24"/>
              </w:rPr>
              <w:t>中华人民共和国医师法</w:t>
            </w:r>
            <w:r w:rsidRPr="00AD4AA5">
              <w:rPr>
                <w:rFonts w:asciiTheme="minorEastAsia" w:hAnsiTheme="minorEastAsia" w:cs="宋体" w:hint="eastAsia"/>
                <w:kern w:val="0"/>
                <w:sz w:val="24"/>
                <w:szCs w:val="24"/>
              </w:rPr>
              <w:t>》（国家主席令第5号）第十二条：医师资格考试成绩合格，取得执业医师资格或者执业助理医师资格。第十三条：国家实行医师执业注册制度。取得医师资格的，可以向所在地县级以上</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卫生行政部门申请注</w:t>
            </w:r>
            <w:r w:rsidRPr="00AD4AA5">
              <w:rPr>
                <w:rFonts w:asciiTheme="minorEastAsia" w:hAnsiTheme="minorEastAsia" w:cs="宋体" w:hint="eastAsia"/>
                <w:kern w:val="0"/>
                <w:sz w:val="24"/>
                <w:szCs w:val="24"/>
              </w:rPr>
              <w:t>册。</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县政务服务中心卫健委窗口</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自然人或医疗机构</w:t>
            </w:r>
          </w:p>
        </w:tc>
      </w:tr>
      <w:tr w:rsidTr="00481B78">
        <w:tblPrEx>
          <w:tblW w:w="15109" w:type="dxa"/>
          <w:jc w:val="center"/>
          <w:shd w:val="clear" w:color="auto" w:fill="FFFFFF"/>
          <w:tblLook w:val="04A0"/>
        </w:tblPrEx>
        <w:trPr>
          <w:trHeight w:val="168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6</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医疗机构医师执业证书遗失或损坏补办</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依申请类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1.《</w:t>
            </w:r>
            <w:r w:rsidRPr="00AD4AA5">
              <w:rPr>
                <w:rFonts w:asciiTheme="minorEastAsia" w:hAnsiTheme="minorEastAsia" w:cs="宋体" w:hint="eastAsia"/>
                <w:kern w:val="0"/>
                <w:sz w:val="24"/>
                <w:szCs w:val="24"/>
              </w:rPr>
              <w:t>中华人民共和国医师法</w:t>
            </w:r>
            <w:r w:rsidRPr="00AD4AA5">
              <w:rPr>
                <w:rFonts w:asciiTheme="minorEastAsia" w:hAnsiTheme="minorEastAsia" w:cs="宋体" w:hint="eastAsia"/>
                <w:kern w:val="0"/>
                <w:sz w:val="24"/>
                <w:szCs w:val="24"/>
              </w:rPr>
              <w:t>》（国家主席令第5号）第十二条：医师资格考试成绩合格，取得执业医师资格或者执业助理医师资格。第十三条：国家实行医师执业注册制度。取得医师资格的，可以向所在地县级以上</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卫生行政部门申请注册。</w:t>
            </w:r>
            <w:r w:rsidRPr="00AD4AA5">
              <w:rPr>
                <w:rFonts w:asciiTheme="minorEastAsia" w:hAnsiTheme="minorEastAsia" w:cs="宋体" w:hint="eastAsia"/>
                <w:kern w:val="0"/>
                <w:sz w:val="24"/>
                <w:szCs w:val="24"/>
              </w:rPr>
              <w:br/>
              <w:t>2.《医师执业注册暂行办法》（卫生部令第5号）第十二条：《医师执业证书》应妥善保管，不得出借、出租、抵押、转让、涂改和毁损。如发生损坏或者遗失的，当事人应当及时向原发证部门申请补发或换领。损坏的《医师执业证书》，应当交回原发证部门。《医师执业证书》遗失的，原持证人应当于15日内在当地指定报刊上予以公告。</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县政务服务中心卫健委窗口</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自然人或医疗机构</w:t>
            </w:r>
          </w:p>
        </w:tc>
      </w:tr>
      <w:tr w:rsidTr="00481B78">
        <w:tblPrEx>
          <w:tblW w:w="15109" w:type="dxa"/>
          <w:jc w:val="center"/>
          <w:shd w:val="clear" w:color="auto" w:fill="FFFFFF"/>
          <w:tblLook w:val="04A0"/>
        </w:tblPrEx>
        <w:trPr>
          <w:trHeight w:val="72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7</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护士执业资格考试考生报名信息核实</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依申请类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凡符合原卫生部、人力资源社会保障部印发的《护士执业资格考试办法》（部长令第74号）中报名条件的人员，可以报名参加考试。各考点要严格按照《护士条例》和《护士执业资格考试办法》审定考生报名资格，对不符合报名条件的人员，严禁参加考试。</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人事股</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报名参加护士执业资格考试人员</w:t>
            </w:r>
          </w:p>
        </w:tc>
      </w:tr>
      <w:tr w:rsidTr="00481B78">
        <w:tblPrEx>
          <w:tblW w:w="15109" w:type="dxa"/>
          <w:jc w:val="center"/>
          <w:shd w:val="clear" w:color="auto" w:fill="FFFFFF"/>
          <w:tblLook w:val="04A0"/>
        </w:tblPrEx>
        <w:trPr>
          <w:trHeight w:val="1252"/>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8</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护士执业资格考试合格证明补办信息核实转报</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依申请类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国家卫生计生委人才交流服务中心《护士执业资格考试合格证明补办办法》：1.申请补办合格证明前，申请人须在市、地级以上公开发行的报纸上刊登遗失启示，明确声明原合格证明（含姓名、年度、证书编号）已作废失效。2.申请补办合格证明需提交以下材料：（1）《护士执业资格考试成绩合格证明遗失补办申请表》（见附件1）一式两份；（2）本人的身份证复印件一份；（3）补办合格证明当年度的准考证、成绩单的复印件一份（如遗失，需由所在单位或学校提供相关证明）；（4）已刊登作废声明的报纸原件一份。3.申请人向所在考点提出申请并提交上述有关资料，考点初步审核后，报考区审核。4.考区汇总审核后，于每月20日前上报卫生部人才交流服务中心。5.卫生部人才交流服务中心收到考区上报材料后进行审核，审</w:t>
            </w:r>
            <w:r w:rsidRPr="00AD4AA5">
              <w:rPr>
                <w:rFonts w:asciiTheme="minorEastAsia" w:hAnsiTheme="minorEastAsia" w:cs="宋体" w:hint="eastAsia"/>
                <w:kern w:val="0"/>
                <w:sz w:val="24"/>
                <w:szCs w:val="24"/>
              </w:rPr>
              <w:t>核通过后十五个工作日内进行集中补办并下发至考区。</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医政医管股</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自然人或医疗机构</w:t>
            </w:r>
          </w:p>
        </w:tc>
      </w:tr>
      <w:tr w:rsidTr="00481B78">
        <w:tblPrEx>
          <w:tblW w:w="15109" w:type="dxa"/>
          <w:jc w:val="center"/>
          <w:shd w:val="clear" w:color="auto" w:fill="FFFFFF"/>
          <w:tblLook w:val="04A0"/>
        </w:tblPrEx>
        <w:trPr>
          <w:trHeight w:val="1536"/>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护士执业证书遗失或损毁补办</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依申请类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1.《护士条例》（国务院令第517号）第七条：护士执业，应当经执业注册取得护士执业证书。</w:t>
            </w:r>
            <w:r w:rsidRPr="00AD4AA5">
              <w:rPr>
                <w:rFonts w:asciiTheme="minorEastAsia" w:hAnsiTheme="minorEastAsia" w:cs="宋体" w:hint="eastAsia"/>
                <w:kern w:val="0"/>
                <w:sz w:val="24"/>
                <w:szCs w:val="24"/>
              </w:rPr>
              <w:br/>
              <w:t>2.安徽省卫生健康委《关于进一步做好护士执业注册审批权限下放有关工作的通知》（皖卫医发〔2019〕142号）：附件1”五、护士执业证书遗失补证（一）补证对象</w:t>
            </w:r>
            <w:r w:rsidRPr="00AD4AA5">
              <w:rPr>
                <w:rFonts w:asciiTheme="minorEastAsia" w:hAnsiTheme="minorEastAsia" w:cs="宋体" w:hint="eastAsia"/>
                <w:kern w:val="0"/>
                <w:sz w:val="24"/>
                <w:szCs w:val="24"/>
              </w:rPr>
              <w:br/>
              <w:t>在执业注册有效期内，持证人遗失《护士执业证书》的，如需继续执业，应当申请遗失补证。（二）申请材料：1.护士执业证书遗失补证申请表1份（附件4，粘贴照片1张）；2.申请人护士资格证书原件和复印件1份（校验原件、留存复印件）；3.申请人身份证原件和复印件1份（校验原件、留存复印件）；4.近期正面免冠白底小二寸彩色照片1张（用于证书制作）。“</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县政务服务中心卫健委窗口</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自然人或医疗机构</w:t>
            </w:r>
          </w:p>
        </w:tc>
      </w:tr>
      <w:tr w:rsidTr="00481B78">
        <w:tblPrEx>
          <w:tblW w:w="15109" w:type="dxa"/>
          <w:jc w:val="center"/>
          <w:shd w:val="clear" w:color="auto" w:fill="FFFFFF"/>
          <w:tblLook w:val="04A0"/>
        </w:tblPrEx>
        <w:trPr>
          <w:trHeight w:val="168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医师资格考试考生报名资格复核</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依申请类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1.《</w:t>
            </w:r>
            <w:r w:rsidRPr="00AD4AA5">
              <w:rPr>
                <w:rFonts w:asciiTheme="minorEastAsia" w:hAnsiTheme="minorEastAsia" w:cs="宋体" w:hint="eastAsia"/>
                <w:kern w:val="0"/>
                <w:sz w:val="24"/>
                <w:szCs w:val="24"/>
              </w:rPr>
              <w:t>中华人民共和国医师法</w:t>
            </w:r>
            <w:r w:rsidRPr="00AD4AA5">
              <w:rPr>
                <w:rFonts w:asciiTheme="minorEastAsia" w:hAnsiTheme="minorEastAsia" w:cs="宋体" w:hint="eastAsia"/>
                <w:kern w:val="0"/>
                <w:sz w:val="24"/>
                <w:szCs w:val="24"/>
              </w:rPr>
              <w:t>》（国家主席令第5号）第八条：国家实行医师资格考试制度。医师资格考试分为执业医师资格考试和执业助理医师资格考试。医师资格统一考试的办法，由国务院卫生行政部门制定。医师资格考试由省级以上</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卫生行政部门组织实施。2.《医师资格考试暂行办法》（卫生部令第4号）第八条：各省、自治区、直辖市为考区，考区主任由省级卫生行政部门主管领导兼任。考区的基本情况和人员组成报卫生部医师资格考试委员会备案。考区设办公室，其职责中第五条明确“复核考生报名资格”。</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医政医管股</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本县符合医师资格考试考生</w:t>
            </w:r>
          </w:p>
        </w:tc>
      </w:tr>
      <w:tr w:rsidTr="00481B78">
        <w:tblPrEx>
          <w:tblW w:w="15109" w:type="dxa"/>
          <w:jc w:val="center"/>
          <w:shd w:val="clear" w:color="auto" w:fill="FFFFFF"/>
          <w:tblLook w:val="04A0"/>
        </w:tblPrEx>
        <w:trPr>
          <w:trHeight w:val="144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1</w:t>
            </w:r>
            <w:r w:rsidR="00B22CDB">
              <w:rPr>
                <w:rFonts w:asciiTheme="minorEastAsia" w:hAnsiTheme="minorEastAsia" w:cs="宋体" w:hint="eastAsia"/>
                <w:color w:val="000000"/>
                <w:kern w:val="0"/>
                <w:sz w:val="24"/>
                <w:szCs w:val="24"/>
              </w:rPr>
              <w:t>1</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开展慢性病与营养监测服务</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关于印发中国居民慢性病与营养监测工作方案（试行）的通知》（国卫办疾控函〔2014〕814号）：在安徽省淮北市濉溪县，宿州市埇桥区、灵璧县，滁州市天长市，亳州市蒙城县，阜阳市颍州区、颍上县，六安市金寨县，蚌埠市龙子湖区、固镇县，淮南市潘集区、寿县，合肥市瑶海区、肥东县、巢湖市，安庆市望江县、怀</w:t>
            </w:r>
            <w:r w:rsidRPr="00AD4AA5">
              <w:rPr>
                <w:rFonts w:asciiTheme="minorEastAsia" w:hAnsiTheme="minorEastAsia" w:cs="宋体" w:hint="eastAsia"/>
                <w:kern w:val="0"/>
                <w:sz w:val="24"/>
                <w:szCs w:val="24"/>
              </w:rPr>
              <w:t>宁县、宿松县，铜陵市铜官区、枞阳县，马鞍山市雨山区、当涂县，芜湖市镜湖区、鸠江区，宣城市泾县，池州市石台县，黄山市黄山区16个市的27个县（市、区）开展慢性病与营养监测。</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疾控中心</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全部人群</w:t>
            </w:r>
          </w:p>
        </w:tc>
      </w:tr>
      <w:tr w:rsidTr="00481B78">
        <w:tblPrEx>
          <w:tblW w:w="15109" w:type="dxa"/>
          <w:jc w:val="center"/>
          <w:shd w:val="clear" w:color="auto" w:fill="FFFFFF"/>
          <w:tblLook w:val="04A0"/>
        </w:tblPrEx>
        <w:trPr>
          <w:trHeight w:val="216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1</w:t>
            </w:r>
            <w:r w:rsidR="00B22CDB">
              <w:rPr>
                <w:rFonts w:asciiTheme="minorEastAsia" w:hAnsiTheme="minorEastAsia" w:cs="宋体" w:hint="eastAsia"/>
                <w:color w:val="000000"/>
                <w:kern w:val="0"/>
                <w:sz w:val="24"/>
                <w:szCs w:val="24"/>
              </w:rPr>
              <w:t>2</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消化道癌症早诊早治服务</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财政部、国家卫生计生委关于下达2016年公共卫生服务补助资金的通知》（财社〔2015〕82号）：在我省淮河流域部分地区及部分农村上消化道癌高发区开展癌症早诊早治工作。在天长市、庐江县、东至县、宜秀区、裕安区、肥东县、南陵县，寿县、定远县、潘集区、阜南县、霍邱县和铜陵县等13个县（市、区）实施上消化道癌早诊早治为主的癌症综合防治项目；在灵璧县、蒙城县、五河县、颍上县、埇桥区5个县（区）实施肝癌早诊早治为主的癌症综合防治项目；在颍东区实施上消化道及肝癌联合筛查为主的癌症综合防治项目。在以上19个项目县（市、区）开展以全人群为基础的肿瘤登记工作。加强项目地区癌症防控人员能力建设，结合慢性病综合防控示范区建设和全民健康生活方式行动开展癌症预防工作。</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疾控中心</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35岁-64岁居民</w:t>
            </w:r>
          </w:p>
        </w:tc>
      </w:tr>
      <w:tr w:rsidTr="00481B78">
        <w:tblPrEx>
          <w:tblW w:w="15109" w:type="dxa"/>
          <w:jc w:val="center"/>
          <w:shd w:val="clear" w:color="auto" w:fill="FFFFFF"/>
          <w:tblLook w:val="04A0"/>
        </w:tblPrEx>
        <w:trPr>
          <w:trHeight w:val="96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1</w:t>
            </w:r>
            <w:r w:rsidR="00B22CDB">
              <w:rPr>
                <w:rFonts w:asciiTheme="minorEastAsia" w:hAnsiTheme="minorEastAsia" w:cs="宋体" w:hint="eastAsia"/>
                <w:color w:val="000000"/>
                <w:kern w:val="0"/>
                <w:sz w:val="24"/>
                <w:szCs w:val="24"/>
              </w:rPr>
              <w:t>3</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农村癫痫防治管理服务</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2016年中央补助安徽省公共卫生专项资金农村癫痫防治项目实施方案》：为推进安徽省农村地区癫痫防治工作，提高医务人员对癫痫疾病的诊断和治疗水平，服务于农村癫痫患者，实施合理治疗，解除其疾病痛苦。结合我省实际情况，在巩固项目工作的基础上，进一步强化管理，特制定本实施方案。</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疾控中心</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特殊人群</w:t>
            </w:r>
          </w:p>
        </w:tc>
      </w:tr>
      <w:tr w:rsidTr="00481B78">
        <w:tblPrEx>
          <w:tblW w:w="15109" w:type="dxa"/>
          <w:jc w:val="center"/>
          <w:shd w:val="clear" w:color="auto" w:fill="FFFFFF"/>
          <w:tblLook w:val="04A0"/>
        </w:tblPrEx>
        <w:trPr>
          <w:trHeight w:val="96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14</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全民健康生活方式指导服务</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color w:val="000000"/>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《关于印发〈全民健康生活方式行动 健康支持性环境建设指导方案〉的通知》（中疾控社发〔2013〕227号）：通过全民健康生活方式行动健康支持性环境建设活动，广泛动员社会力量，营造健康生活方式支持性环境，普及健康生活方式相关知识，提供健康生活方式行为指导，培养民众健康意识和健康行为能力，最终提高居民健康水平。</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宣传与老年健康股</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群众</w:t>
            </w:r>
          </w:p>
        </w:tc>
      </w:tr>
      <w:tr w:rsidTr="00481B78">
        <w:tblPrEx>
          <w:tblW w:w="15109" w:type="dxa"/>
          <w:jc w:val="center"/>
          <w:shd w:val="clear" w:color="auto" w:fill="FFFFFF"/>
          <w:tblLook w:val="04A0"/>
        </w:tblPrEx>
        <w:trPr>
          <w:trHeight w:val="168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1</w:t>
            </w:r>
            <w:r w:rsidR="00B22CDB">
              <w:rPr>
                <w:rFonts w:asciiTheme="minorEastAsia" w:hAnsiTheme="minorEastAsia" w:cs="宋体" w:hint="eastAsia"/>
                <w:color w:val="000000"/>
                <w:kern w:val="0"/>
                <w:sz w:val="24"/>
                <w:szCs w:val="24"/>
              </w:rPr>
              <w:t>5</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开展地方病与血吸虫病及寄生虫病防治知识宣传活动</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1.《中华人民共和国传染病防治法》第十八条：各级疾病预防控制机构在传染病预防控制中履行下列职责：（六）开展健康教育、咨询，普及传染病防治知识。</w:t>
            </w:r>
            <w:r w:rsidRPr="00AD4AA5">
              <w:rPr>
                <w:rFonts w:asciiTheme="minorEastAsia" w:hAnsiTheme="minorEastAsia" w:cs="宋体" w:hint="eastAsia"/>
                <w:kern w:val="0"/>
                <w:sz w:val="24"/>
                <w:szCs w:val="24"/>
              </w:rPr>
              <w:br/>
              <w:t>2.《安徽省血吸虫病防治条例》第十三条：省</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、血防区各级</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应当组织开展血防宣传教育，提高公民的血防意识和政府工作人员的责任意识。报纸、广播、电视等新闻媒体应当采取多种形式宣传血防知识。教育行政部门应当组织血防区的中、小学校开展血防健康教育、普及血防基本知识，配合血防专业机构开展师生血吸虫病查治工作。</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疾控中心</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全部人群</w:t>
            </w:r>
          </w:p>
        </w:tc>
      </w:tr>
      <w:tr w:rsidTr="00481B78">
        <w:tblPrEx>
          <w:tblW w:w="15109" w:type="dxa"/>
          <w:jc w:val="center"/>
          <w:shd w:val="clear" w:color="auto" w:fill="FFFFFF"/>
          <w:tblLook w:val="04A0"/>
        </w:tblPrEx>
        <w:trPr>
          <w:trHeight w:val="548"/>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1</w:t>
            </w:r>
            <w:r w:rsidR="00B22CDB">
              <w:rPr>
                <w:rFonts w:asciiTheme="minorEastAsia" w:hAnsiTheme="minorEastAsia" w:cs="宋体" w:hint="eastAsia"/>
                <w:color w:val="000000"/>
                <w:kern w:val="0"/>
                <w:sz w:val="24"/>
                <w:szCs w:val="24"/>
              </w:rPr>
              <w:t>6</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健康教育与促进健康行动服务</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1.《健康中国行动（2019—2030年）》明确要求开展十五类专项行动。</w:t>
            </w:r>
            <w:r w:rsidRPr="00AD4AA5">
              <w:rPr>
                <w:rFonts w:asciiTheme="minorEastAsia" w:hAnsiTheme="minorEastAsia" w:cs="宋体" w:hint="eastAsia"/>
                <w:kern w:val="0"/>
                <w:sz w:val="24"/>
                <w:szCs w:val="24"/>
              </w:rPr>
              <w:br/>
              <w:t>2.《全民健康素养促进行动规划(2014-2020年)》明确要求开展健康教育与促进健康行动服务。</w:t>
            </w:r>
            <w:r w:rsidRPr="00AD4AA5">
              <w:rPr>
                <w:rFonts w:asciiTheme="minorEastAsia" w:hAnsiTheme="minorEastAsia" w:cs="宋体" w:hint="eastAsia"/>
                <w:kern w:val="0"/>
                <w:sz w:val="24"/>
                <w:szCs w:val="24"/>
              </w:rPr>
              <w:br/>
              <w:t>3.国家卫健委《关于做好2020年健康素养促进行动项目的通知》要求：开展健康教育公益广告的开发与播放，健康巡讲专家遴选，并组织健康巡讲活动，健康促进县（区）创建，健康促进医院创建，继续开展健康素养、烟草流行以及中医素养监测，通过12320热线开展戒烟干预服务，开展重点疾病和重点领域健康教育等多项服务工作，提高我省居民健康素养和健康水平，推进健康中国建设。</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疾控中心</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全部人群</w:t>
            </w:r>
          </w:p>
        </w:tc>
      </w:tr>
      <w:tr w:rsidTr="00481B78">
        <w:tblPrEx>
          <w:tblW w:w="15109" w:type="dxa"/>
          <w:jc w:val="center"/>
          <w:shd w:val="clear" w:color="auto" w:fill="FFFFFF"/>
          <w:tblLook w:val="04A0"/>
        </w:tblPrEx>
        <w:trPr>
          <w:trHeight w:val="216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1</w:t>
            </w:r>
            <w:r w:rsidR="00B22CDB">
              <w:rPr>
                <w:rFonts w:asciiTheme="minorEastAsia" w:hAnsiTheme="minorEastAsia" w:cs="宋体" w:hint="eastAsia"/>
                <w:color w:val="000000"/>
                <w:kern w:val="0"/>
                <w:sz w:val="24"/>
                <w:szCs w:val="24"/>
              </w:rPr>
              <w:t>7</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卫生检验与卫生防疫服务</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1．安徽省机构编制委员会办公室《关于调整省疾病预防控制和卫生监督机构及职能问题的批复》（皖编办〔2003〕124号）：省疾病预防控制中心的主要职责是：负责全省疾病预防控制与公共卫生技术管理与服务工作。</w:t>
            </w:r>
            <w:r w:rsidRPr="00AD4AA5">
              <w:rPr>
                <w:rFonts w:asciiTheme="minorEastAsia" w:hAnsiTheme="minorEastAsia" w:cs="宋体" w:hint="eastAsia"/>
                <w:kern w:val="0"/>
                <w:sz w:val="24"/>
                <w:szCs w:val="24"/>
              </w:rPr>
              <w:br/>
              <w:t>2．国家质量监督检验检疫总局《检验检测机构资质认定管理办法》（2015质监总局令第163号）第二十五条：检验检测机构应当在资质认定证书规定的检验检测能力范围内，依据相关标准或者技术规范规定的程序和要求，出具检验检测数据、结果。检验检测机构出具检验检测数据、结果时，应当注明检验检测依据，并使用符合资质认定基本规范、评审准则规定的用语进行表述。检验检测机构对其出具的检验检测数据、结果负责，并承担相应法律责任。</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疾控中心</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全部人群</w:t>
            </w:r>
          </w:p>
        </w:tc>
      </w:tr>
      <w:tr w:rsidTr="00481B78">
        <w:tblPrEx>
          <w:tblW w:w="15109" w:type="dxa"/>
          <w:jc w:val="center"/>
          <w:shd w:val="clear" w:color="auto" w:fill="FFFFFF"/>
          <w:tblLook w:val="04A0"/>
        </w:tblPrEx>
        <w:trPr>
          <w:trHeight w:val="1794"/>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1</w:t>
            </w:r>
            <w:r w:rsidR="00B22CDB">
              <w:rPr>
                <w:rFonts w:asciiTheme="minorEastAsia" w:hAnsiTheme="minorEastAsia" w:cs="宋体" w:hint="eastAsia"/>
                <w:color w:val="000000"/>
                <w:kern w:val="0"/>
                <w:sz w:val="24"/>
                <w:szCs w:val="24"/>
              </w:rPr>
              <w:t>8</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妇女、儿童医疗保健服务</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color w:val="000000"/>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1.《中华人民共和国母婴保健法》第七条：医疗保健机构应当为公民提供婚前保健服务。婚前保健服务包括下列内容：（一）婚前卫生指导：关于性卫生知识、生育知识和遗传病知识的教育；（二）婚前卫生咨询：对有关婚配、生育保健等问题提供医学意见；（三）婚前医学检查：对准备结婚的男女双方可能患影响结婚和生育的疾病进行医学检查。第十四条：医疗保健机构应当为育龄妇女和孕产妇提供孕产期保健服务。孕产期保健服务包括下列内容：（一）母婴保健指导：对孕育健康后代以及严重遗传性疾病和碘缺乏病等地方病的发病原因、治疗和预防提供医学意见；（二）孕妇、产妇保健：为孕妇、产妇提供卫生、营养、心理等方面的咨询和指导以及产前定期检查等医疗保健服务；（三）胎儿保健：为胎儿生长发育进行监护，提供咨询和医学指导；（四）新生儿保健：为新生儿生长发育、哺乳和护理提供医疗保健服务。</w:t>
            </w:r>
            <w:r w:rsidRPr="00AD4AA5">
              <w:rPr>
                <w:rFonts w:asciiTheme="minorEastAsia" w:hAnsiTheme="minorEastAsia" w:cs="宋体" w:hint="eastAsia"/>
                <w:color w:val="000000"/>
                <w:kern w:val="0"/>
                <w:sz w:val="24"/>
                <w:szCs w:val="24"/>
              </w:rPr>
              <w:br/>
              <w:t>2.《中华人民共和国母婴保健法实施办法》第九条：母婴保健法第七条所称婚前卫生指导，包括下列事项：（一）有关性卫生的保健和教育；（二）新婚避孕知识及计划生育指导；（三）受孕前的准备、环境和疾病对后代影响等孕前保健知识；（四）遗传病的基本知识；（五）影响婚育的有关疾病的基本知识；（六）其他生殖健康知识。医师在进行婚前卫生咨询时，应当为服务对象提供科学的信息，对可能产生的后果进行指导，并提出适当的建议。第十八条：医疗、保健机构应当为孕产妇提供下列医疗保健服务：（一）为孕产妇建立保健手册（卡）定期进行产前检查；（二）为孕产妇提供卫生、营养、心理等方面的医学指导与咨询；（三）对高危孕妇进行重点监护、随访和医疗保健服务；（四）为孕产妇提供安全分娩技术服务；（五）定期进行产后访视，指导产妇科学喂养婴儿；（六）提供避孕咨询指导和技术服务；（七）对产妇及其家属进行生殖健康教育和科学育儿知识教育；（八）其他孕产期保健服务。</w:t>
            </w:r>
            <w:r w:rsidRPr="00AD4AA5">
              <w:rPr>
                <w:rFonts w:asciiTheme="minorEastAsia" w:hAnsiTheme="minorEastAsia" w:cs="宋体" w:hint="eastAsia"/>
                <w:color w:val="000000"/>
                <w:kern w:val="0"/>
                <w:sz w:val="24"/>
                <w:szCs w:val="24"/>
              </w:rPr>
              <w:br/>
              <w:t>3.《中华人民共和国母婴保健法实施办法》第二十六条：医疗、保健机构应当按照规定进行新生儿访视，建立儿童保健手册（卡），定期对其进行健康检查，提供有</w:t>
            </w:r>
            <w:r w:rsidRPr="00AD4AA5">
              <w:rPr>
                <w:rFonts w:asciiTheme="minorEastAsia" w:hAnsiTheme="minorEastAsia" w:cs="宋体" w:hint="eastAsia"/>
                <w:color w:val="000000"/>
                <w:kern w:val="0"/>
                <w:sz w:val="24"/>
                <w:szCs w:val="24"/>
              </w:rPr>
              <w:t>关预防疾病、合理膳食、促进智力发育等科学知识，做好婴儿多发病、常见病防治等医疗保健服务。第十五条：实行孕产妇保健管理制度。各级医疗保健机构按照当地卫生行政部门划定的服务区域和职责范围，为育龄妇女和孕产妇提供孕产期保健服务并做好以下工作：（一）为孕育健康后代提供医学指导、医学咨询和自我保健知识；（二）建立孕产妇保健档案；（三）对高危孕妇实行重点监护；（四）定期产后访视，指导产妇科学哺乳，提供避孕咨询。第二十三条：母乳喂养是婴儿的权利和母亲应尽的义务。全社会都要关心和支持母乳喂养，提高母乳喂养率。医疗保健机构应当宣传科学育儿知识，推行和支持母乳喂养，为母乳喂养提供服务。</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妇幼保健计划生育服务中心</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全县妇女、儿童</w:t>
            </w:r>
          </w:p>
        </w:tc>
      </w:tr>
      <w:tr w:rsidTr="00481B78">
        <w:tblPrEx>
          <w:tblW w:w="15109" w:type="dxa"/>
          <w:jc w:val="center"/>
          <w:shd w:val="clear" w:color="auto" w:fill="FFFFFF"/>
          <w:tblLook w:val="04A0"/>
        </w:tblPrEx>
        <w:trPr>
          <w:trHeight w:val="240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19</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婚前医学检查</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color w:val="000000"/>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1.《中华人民共和国母婴保健法》第七条：医疗保健机构应当为公民提供婚前保健服务。婚前保健服务包括下列内容：（一）婚前卫生指导：关于性卫生知识、生育知识和遗传病知识的教育；（二）婚前卫生咨询：对有关婚配、生育保健等问题提供医学意见；（三）婚前医学检查：对准备结婚的男女双方可能患影响结婚和生育的疾病进行医学检查。</w:t>
            </w:r>
            <w:r w:rsidRPr="00AD4AA5">
              <w:rPr>
                <w:rFonts w:asciiTheme="minorEastAsia" w:hAnsiTheme="minorEastAsia" w:cs="宋体" w:hint="eastAsia"/>
                <w:color w:val="000000"/>
                <w:kern w:val="0"/>
                <w:sz w:val="24"/>
                <w:szCs w:val="24"/>
              </w:rPr>
              <w:br/>
              <w:t>2.《安徽省实施&lt;中华人民共和国母婴保健法&gt;办法》第十一条：医疗保健机构应当为公民提供婚前卫生指导、婚前卫生咨询和婚前医学检查服务。涉外婚姻婚前医学检查由省卫生行政部门指定的医疗保健机构承担。卫生行政部门应将婚前医学检查名单抄送同级民政部门备案。3.由安徽省卫生和计划生育委员会审批许可，我所取得《母婴保健技术服务执业许可证》，许可项目：涉外婚前医学检查。</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妇幼保健计划生育服务中心</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准备结婚的男女双方</w:t>
            </w:r>
          </w:p>
        </w:tc>
      </w:tr>
      <w:tr w:rsidTr="00481B78">
        <w:tblPrEx>
          <w:tblW w:w="15109" w:type="dxa"/>
          <w:jc w:val="center"/>
          <w:shd w:val="clear" w:color="auto" w:fill="FFFFFF"/>
          <w:tblLook w:val="04A0"/>
        </w:tblPrEx>
        <w:trPr>
          <w:trHeight w:val="360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2</w:t>
            </w:r>
            <w:r w:rsidR="00B22CDB">
              <w:rPr>
                <w:rFonts w:asciiTheme="minorEastAsia" w:hAnsiTheme="minorEastAsia" w:cs="宋体" w:hint="eastAsia"/>
                <w:color w:val="000000"/>
                <w:kern w:val="0"/>
                <w:sz w:val="24"/>
                <w:szCs w:val="24"/>
              </w:rPr>
              <w:t>0</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新生儿疾病筛查、诊断、治疗和监测</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1.《中华人民共和国母婴保健法实施办法》第三条：母婴保健技术服务主要包括以下事项：（一）有关母婴保健的科普宣传、教育和咨询；（二）婚前医学检查；（三）产前诊断和遗传病诊断；（四）助产技术；（五）实施医学上需要的节育手术；（六）新生儿疾病筛查；（七）有关生育、节育、不育的其他生殖保健服务。第二十五条：医疗、保健机构应当按照国家有关规定开展新生儿先天性、遗传性代谢病筛查、诊断、治疗和监测。</w:t>
            </w:r>
            <w:r w:rsidRPr="00AD4AA5">
              <w:rPr>
                <w:rFonts w:asciiTheme="minorEastAsia" w:hAnsiTheme="minorEastAsia" w:cs="宋体" w:hint="eastAsia"/>
                <w:kern w:val="0"/>
                <w:sz w:val="24"/>
                <w:szCs w:val="24"/>
              </w:rPr>
              <w:br/>
              <w:t>2.《安徽省实施&lt;中华人民共和国母婴保健法&gt;办法》第二十五条：省卫生行政部门指定的医疗保健机构应开展先天性甲状腺功能低下和苯丙酮尿症等新生儿疾病的筛查。</w:t>
            </w:r>
            <w:r w:rsidRPr="00AD4AA5">
              <w:rPr>
                <w:rFonts w:asciiTheme="minorEastAsia" w:hAnsiTheme="minorEastAsia" w:cs="宋体" w:hint="eastAsia"/>
                <w:kern w:val="0"/>
                <w:sz w:val="24"/>
                <w:szCs w:val="24"/>
              </w:rPr>
              <w:br/>
              <w:t>3.原卫生部《新生儿疾病筛查管理办法》第七条：省、自治区、直辖市</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卫生行政部门应当根据本行政区域的实际情况，制定本地区新生儿遗传代谢病筛查中心和新生儿听力筛查中心（以下简称新生儿疾病筛查中心）设置规划，指定具备能力的医疗机构为本行政区域新生儿疾病筛查中心。</w:t>
            </w:r>
            <w:r w:rsidRPr="00AD4AA5">
              <w:rPr>
                <w:rFonts w:asciiTheme="minorEastAsia" w:hAnsiTheme="minorEastAsia" w:cs="宋体" w:hint="eastAsia"/>
                <w:kern w:val="0"/>
                <w:sz w:val="24"/>
                <w:szCs w:val="24"/>
              </w:rPr>
              <w:br/>
              <w:t>4.安徽省卫生和计划生育委员会《关于同意扩大新生儿先天性肾上腺皮质增生症筛查服务范围的批复》（卫函〔2016〕55号）：同意你所在开展苯丙酮尿症和先天性甲状腺功能减低症筛查基础上，扩大新生儿先天性肾上腺皮质增生症筛查服务范围。</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妇幼保健计划生育服务中心</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县内医疗机构分娩的新生儿。</w:t>
            </w:r>
          </w:p>
        </w:tc>
      </w:tr>
      <w:tr w:rsidTr="00481B78">
        <w:tblPrEx>
          <w:tblW w:w="15109" w:type="dxa"/>
          <w:jc w:val="center"/>
          <w:shd w:val="clear" w:color="auto" w:fill="FFFFFF"/>
          <w:tblLook w:val="04A0"/>
        </w:tblPrEx>
        <w:trPr>
          <w:trHeight w:val="72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2</w:t>
            </w:r>
            <w:r w:rsidR="00B22CDB">
              <w:rPr>
                <w:rFonts w:asciiTheme="minorEastAsia" w:hAnsiTheme="minorEastAsia" w:cs="宋体" w:hint="eastAsia"/>
                <w:color w:val="000000"/>
                <w:kern w:val="0"/>
                <w:sz w:val="24"/>
                <w:szCs w:val="24"/>
              </w:rPr>
              <w:t>1</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寄生虫病门诊检验</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安徽省血吸虫病（寄生虫病）防治研究所系省卫生健康委直属事业单位，提供寄生虫病预防控制和公共卫生技术管理与服务。向社会提供寄生虫病门诊检验与健康咨询等专业技术服务是其主要工作职责之一，也是当前广大社会群众迫切的健康医疗服务需求。</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疾控中心</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全部人群</w:t>
            </w:r>
          </w:p>
        </w:tc>
      </w:tr>
      <w:tr w:rsidTr="00481B78">
        <w:tblPrEx>
          <w:tblW w:w="15109" w:type="dxa"/>
          <w:jc w:val="center"/>
          <w:shd w:val="clear" w:color="auto" w:fill="FFFFFF"/>
          <w:tblLook w:val="04A0"/>
        </w:tblPrEx>
        <w:trPr>
          <w:trHeight w:val="264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2</w:t>
            </w:r>
            <w:r w:rsidR="00B22CDB">
              <w:rPr>
                <w:rFonts w:asciiTheme="minorEastAsia" w:hAnsiTheme="minorEastAsia" w:cs="宋体" w:hint="eastAsia"/>
                <w:color w:val="000000"/>
                <w:kern w:val="0"/>
                <w:sz w:val="24"/>
                <w:szCs w:val="24"/>
              </w:rPr>
              <w:t>2</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计划生育避孕药具免费发放</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1.原国家人口和计划生育委员会第10号令《计划生育药具工作管理办法（试行）》及《计划生育药具工作管理办法（草案）》：设区的市级以上地方计划生育药具管理机构主要承担以下任务：拟定计划还说呢关于药具管理的规章制度和规范；拟定药具专项经费分配和需求计划方案；编制计划生育药具业务工作经费年度预算和决算；承担本级的药具专项经费管理及使用、计划统计、仓储调拨、质量管理、发放服务等工作和对下一级计划生育药具管理机构进行业务指导。</w:t>
            </w:r>
            <w:r w:rsidRPr="00AD4AA5">
              <w:rPr>
                <w:rFonts w:asciiTheme="minorEastAsia" w:hAnsiTheme="minorEastAsia" w:cs="宋体" w:hint="eastAsia"/>
                <w:kern w:val="0"/>
                <w:sz w:val="24"/>
                <w:szCs w:val="24"/>
              </w:rPr>
              <w:br/>
              <w:t>2.安徽省机构编制委员会《关于对计划生育委员会下属事业单位机构编制清理整顿的批复》（皖编字（1991）072号）：主要职能负责全省避孕药具的计划、供销、储运、发放网络等管理工作，以及宣传指导和效果调查评估工作。</w:t>
            </w:r>
            <w:r w:rsidRPr="00AD4AA5">
              <w:rPr>
                <w:rFonts w:asciiTheme="minorEastAsia" w:hAnsiTheme="minorEastAsia" w:cs="宋体" w:hint="eastAsia"/>
                <w:kern w:val="0"/>
                <w:sz w:val="24"/>
                <w:szCs w:val="24"/>
              </w:rPr>
              <w:br/>
              <w:t>3.2019年5月原安徽省计划生育药具站更名为安徽省卫生健康药具管理中心，原职责不变。</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妇幼保健计划生育服务中心</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育龄群众</w:t>
            </w:r>
          </w:p>
        </w:tc>
      </w:tr>
      <w:tr w:rsidTr="00481B78">
        <w:tblPrEx>
          <w:tblW w:w="15109" w:type="dxa"/>
          <w:jc w:val="center"/>
          <w:shd w:val="clear" w:color="auto" w:fill="FFFFFF"/>
          <w:tblLook w:val="04A0"/>
        </w:tblPrEx>
        <w:trPr>
          <w:trHeight w:val="480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2</w:t>
            </w:r>
            <w:r w:rsidR="00B22CDB">
              <w:rPr>
                <w:rFonts w:asciiTheme="minorEastAsia" w:hAnsiTheme="minorEastAsia" w:cs="宋体" w:hint="eastAsia"/>
                <w:color w:val="000000"/>
                <w:kern w:val="0"/>
                <w:sz w:val="24"/>
                <w:szCs w:val="24"/>
              </w:rPr>
              <w:t>3</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肿瘤登记与随访技术指导</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1.《肿瘤登记管理办法》（国卫疾控发〔2015〕6号）：肿瘤登记处对所在辖区工作进行指导、检查及培训，及时收集辖区内肿瘤新发病例、死亡病例、生存状态和相关人口资料。对数据进行建档、编码、补漏、剔重、核对、分析，定期开展病例随访，按时将数据和工作总结逐级上报省级肿瘤登记中心。省级肿瘤登记中心开展全省（区、市）肿瘤登记报告资料的收集汇总、质量控制和统计分析，按时将数据和工作总结上报国家癌症中心。</w:t>
            </w:r>
            <w:r w:rsidRPr="00AD4AA5">
              <w:rPr>
                <w:rFonts w:asciiTheme="minorEastAsia" w:hAnsiTheme="minorEastAsia" w:cs="宋体" w:hint="eastAsia"/>
                <w:kern w:val="0"/>
                <w:sz w:val="24"/>
                <w:szCs w:val="24"/>
              </w:rPr>
              <w:br/>
              <w:t>2.《国务院办公厅关于印发中国防治慢性病中长期规划（2017-2025年）的通知》（国办发〔2017〕12号）第三点第四条：医院承担慢性病病例登记报告、危重急症病人诊疗工作并为基层医疗卫生机构提供技术支持；基层医疗卫生机构具体实施人群健康促进、高危人群发现和指导、患者干预和随访管理等基本医疗卫生服务。</w:t>
            </w:r>
            <w:r w:rsidRPr="00AD4AA5">
              <w:rPr>
                <w:rFonts w:asciiTheme="minorEastAsia" w:hAnsiTheme="minorEastAsia" w:cs="宋体" w:hint="eastAsia"/>
                <w:kern w:val="0"/>
                <w:sz w:val="24"/>
                <w:szCs w:val="24"/>
              </w:rPr>
              <w:br/>
              <w:t>3.《中国癌症防治三年行动计划（2015-2017年）》（国卫疾控发〔2015〕78号）：加强肿瘤信息收集工作。健全肿瘤登记报告制度，实施《肿瘤登记管理办法》。将肿瘤登记纳入全民健康保障信息化工程建设。逐年扩大肿瘤登记覆盖面，切实提高肿瘤登记工作质量，加强全国癌症信息资源整合收集，定期发布癌症相关信息，系统整理肿瘤登记、死因监测、地理信息等相关数据，建立数学预测模型，编绘全国癌症地图。建立医院肿瘤病例信息监测体系，收集癌症临床诊治及预后信息，科学指导癌症规范化诊疗。对个案肿瘤病例信息采取管理和技术上的安全措施，保护患者隐私和信息安全。</w:t>
            </w:r>
            <w:r w:rsidRPr="00AD4AA5">
              <w:rPr>
                <w:rFonts w:asciiTheme="minorEastAsia" w:hAnsiTheme="minorEastAsia" w:cs="宋体" w:hint="eastAsia"/>
                <w:kern w:val="0"/>
                <w:sz w:val="24"/>
                <w:szCs w:val="24"/>
              </w:rPr>
              <w:br/>
              <w:t>4.《肿瘤登记随访方案</w:t>
            </w:r>
            <w:r w:rsidRPr="00AD4AA5">
              <w:rPr>
                <w:rFonts w:asciiTheme="minorEastAsia" w:hAnsiTheme="minorEastAsia" w:cs="宋体" w:hint="eastAsia"/>
                <w:kern w:val="0"/>
                <w:sz w:val="24"/>
                <w:szCs w:val="24"/>
              </w:rPr>
              <w:t>（试行）》</w:t>
            </w:r>
            <w:r w:rsidRPr="00AD4AA5">
              <w:rPr>
                <w:rFonts w:asciiTheme="minorEastAsia" w:hAnsiTheme="minorEastAsia" w:cs="宋体" w:hint="eastAsia"/>
                <w:kern w:val="0"/>
                <w:sz w:val="24"/>
                <w:szCs w:val="24"/>
              </w:rPr>
              <w:t>（全国肿瘤登记中心）：省级肿瘤登记中心组织实施全省的肿瘤登记随访工作，制定实施细则，建立随访数据库，开展技术指导、人员培训、质量控制和考核评价工作。</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疾控中心</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肿瘤患者</w:t>
            </w:r>
          </w:p>
        </w:tc>
      </w:tr>
      <w:tr w:rsidTr="00481B78">
        <w:tblPrEx>
          <w:tblW w:w="15109" w:type="dxa"/>
          <w:jc w:val="center"/>
          <w:shd w:val="clear" w:color="auto" w:fill="FFFFFF"/>
          <w:tblLook w:val="04A0"/>
        </w:tblPrEx>
        <w:trPr>
          <w:trHeight w:val="696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2</w:t>
            </w:r>
            <w:r w:rsidR="00B22CDB">
              <w:rPr>
                <w:rFonts w:asciiTheme="minorEastAsia" w:hAnsiTheme="minorEastAsia" w:cs="宋体" w:hint="eastAsia"/>
                <w:color w:val="000000"/>
                <w:kern w:val="0"/>
                <w:sz w:val="24"/>
                <w:szCs w:val="24"/>
              </w:rPr>
              <w:t>4</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肿瘤防治健康教育</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1.《国务院关于印发“十三五”卫生与健康规划的通知》（国发〔2016〕77号）：深入开展全民健康教育和健康促进活动。广泛开展全民健康素养促进行动和健康中国行等活动，普及合理营养、合理用药、科学就医和灾害自救互救等知识，提高全民健康素养。</w:t>
            </w:r>
            <w:r w:rsidRPr="00AD4AA5">
              <w:rPr>
                <w:rFonts w:asciiTheme="minorEastAsia" w:hAnsiTheme="minorEastAsia" w:cs="宋体" w:hint="eastAsia"/>
                <w:kern w:val="0"/>
                <w:sz w:val="24"/>
                <w:szCs w:val="24"/>
              </w:rPr>
              <w:br/>
              <w:t>2.《国务院办公厅关于印发中国防治慢性病中长期规划（2017-2025年）的通知》（国办发〔2017〕12号）：开展慢性病防治全民教育。建立健全健康教育体系，普及健康科学知识，教育引导群众树立正确健康观。卫生计生部门组织专家编制科学实用的慢性病防治知识和信息指南，由专业机构向社会发布，广泛宣传合理膳食、适量运动、戒烟限酒、心理平衡等健康科普知识，规范慢性病防治健康科普管理。充分利用主流媒体和新媒体开展形式多样的慢性病防治宣传教育，根据不同人群特点开展有针对性的健康宣传教育。深入推进全民健康素养促进行动、健康中国行等活动，提升健康教育效果。</w:t>
            </w:r>
            <w:r w:rsidRPr="00AD4AA5">
              <w:rPr>
                <w:rFonts w:asciiTheme="minorEastAsia" w:hAnsiTheme="minorEastAsia" w:cs="宋体" w:hint="eastAsia"/>
                <w:kern w:val="0"/>
                <w:sz w:val="24"/>
                <w:szCs w:val="24"/>
              </w:rPr>
              <w:br/>
              <w:t>3.《安徽省</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办公厅关于印发安徽省防治慢性病中长期规划（2017—2025年）的通知》（皖政办秘〔2017〕242号）：开展慢性病防治全民教育。针对影响居民健康的主要慢性病，卫生计生部门组织专家编制通俗易懂的健康宣讲材料，开发推广科学有效的健康适宜技术和支持工具，广泛宣传合理膳食、适量运动、戒烟限酒、心理平衡等健康科普知识，规范慢性病防治健康科普管理。充分利用主流媒体和新媒体开展形式多样的慢性病防治宣传教育，根据不同人群特点开展有针对性的健康宣传教育。深入推进全民健康素养促进行动、健康中国行等活动，提升健康教育效果。</w:t>
            </w:r>
            <w:r w:rsidRPr="00AD4AA5">
              <w:rPr>
                <w:rFonts w:asciiTheme="minorEastAsia" w:hAnsiTheme="minorEastAsia" w:cs="宋体" w:hint="eastAsia"/>
                <w:kern w:val="0"/>
                <w:sz w:val="24"/>
                <w:szCs w:val="24"/>
              </w:rPr>
              <w:br/>
              <w:t>4.《关于印发健康中国行动——癌症防治实施方案（2019—2022年）的通知》（国卫疾控发〔2019〕57号）：开展全民健康促进。建设权威的科普信息传播平台，组织专业机构编制发布癌症防治核心信息和知识要点。深入组织开展全国肿瘤防治宣传周等宣传活动，将癌症防治知识作为学校、医疗卫生机构、社区、养老机构等重要健康教育内容，加强对农村居民癌症防治宣传教育。到2022年，癌症防治核心知</w:t>
            </w:r>
            <w:r w:rsidRPr="00AD4AA5">
              <w:rPr>
                <w:rFonts w:asciiTheme="minorEastAsia" w:hAnsiTheme="minorEastAsia" w:cs="宋体" w:hint="eastAsia"/>
                <w:kern w:val="0"/>
                <w:sz w:val="24"/>
                <w:szCs w:val="24"/>
              </w:rPr>
              <w:t>识知晓率达到70%以上。推进以“三减三健”为重点的全民健康生活方式行动，科学指导大众开展自我健康管理。加强青少年健康知识和行为方式教育。积极推进无烟环境建设，努力通过强化卷烟包装标识的健康危害警示效果、价格调节、限制烟草广告等手段减少烟草消费。</w:t>
            </w:r>
            <w:r w:rsidRPr="00AD4AA5">
              <w:rPr>
                <w:rFonts w:asciiTheme="minorEastAsia" w:hAnsiTheme="minorEastAsia" w:cs="宋体" w:hint="eastAsia"/>
                <w:kern w:val="0"/>
                <w:sz w:val="24"/>
                <w:szCs w:val="24"/>
              </w:rPr>
              <w:br/>
              <w:t>5.《关于印发健康安徽行动——癌症防治实施方案（2020-2022年）的通知》（皖卫疾控秘〔2020〕135号）：开展全民健康促进。深入组织开展经常性的癌症防治健康教育活动，充分发挥全国肿瘤防治宣传周等品牌以及权威科普平台的作用，将癌症防治知识作为学校、医疗卫生机构、社区、</w:t>
            </w:r>
            <w:r w:rsidRPr="00AD4AA5">
              <w:rPr>
                <w:rFonts w:asciiTheme="minorEastAsia" w:hAnsiTheme="minorEastAsia" w:cs="宋体" w:hint="eastAsia"/>
                <w:kern w:val="0"/>
                <w:sz w:val="24"/>
                <w:szCs w:val="24"/>
              </w:rPr>
              <w:br/>
              <w:t>养老机构等重要健康教育内容，加强对农村居民癌症防治宣传教育，普及癌症防治核心知识。</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疾控中心</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全部人群</w:t>
            </w:r>
          </w:p>
        </w:tc>
      </w:tr>
      <w:tr w:rsidTr="00481B78">
        <w:tblPrEx>
          <w:tblW w:w="15109" w:type="dxa"/>
          <w:jc w:val="center"/>
          <w:shd w:val="clear" w:color="auto" w:fill="FFFFFF"/>
          <w:tblLook w:val="04A0"/>
        </w:tblPrEx>
        <w:trPr>
          <w:trHeight w:val="456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2</w:t>
            </w:r>
            <w:r w:rsidR="00B22CDB">
              <w:rPr>
                <w:rFonts w:asciiTheme="minorEastAsia" w:hAnsiTheme="minorEastAsia" w:cs="宋体" w:hint="eastAsia"/>
                <w:color w:val="000000"/>
                <w:kern w:val="0"/>
                <w:sz w:val="24"/>
                <w:szCs w:val="24"/>
              </w:rPr>
              <w:t>5</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肿瘤规范化治疗技术培训与指导</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1.《国务院办公厅关于印发中国防治慢性病中长期规划（2017-2025年）的通知》（国办发〔2017〕12号）：加强慢性病防治机构和队伍能力建设。发挥中国疾病预防控制中心、国家心血管病中心、国家癌症中心在政策咨询、标准规范制定、监测评价、人才培养、技术指导等方面作用，在条件成熟地区依托现有资源建设心血管病、癌症等慢性病区域中心。</w:t>
            </w:r>
            <w:r w:rsidRPr="00AD4AA5">
              <w:rPr>
                <w:rFonts w:asciiTheme="minorEastAsia" w:hAnsiTheme="minorEastAsia" w:cs="宋体" w:hint="eastAsia"/>
                <w:kern w:val="0"/>
                <w:sz w:val="24"/>
                <w:szCs w:val="24"/>
              </w:rPr>
              <w:br/>
              <w:t>2.《关于印发健康中国行动——癌症防治实施方案（2019—2022年）的通知》（国卫疾控发〔2019〕57号）：实施癌症防治能力提升行动，完善防治服务体系。以国家癌症中心为龙头，构建全国癌症防治网络。区域癌症防治中心负责区域癌症防治能力建设和技术工作的统筹协调，通过技术支持、人才帮扶等形式，整体带动区域内癌症防治水平的提升。省级癌症防治中心负责建立本省份癌症防治协作网络，探索推广适宜防治技术和服务模式，开展疑难复杂和高技术要求的癌症防治工作。对发病率高、筛查手段和技术方案比较成熟的胃癌、食管癌、结直肠癌、宫颈癌、乳腺癌、肺癌等重点癌症，组织制订统一规范的筛查和早诊早治技术指南，在全国推广应用。实施癌症诊疗规范化行动，提升管理服务水平。</w:t>
            </w:r>
            <w:r w:rsidRPr="00AD4AA5">
              <w:rPr>
                <w:rFonts w:asciiTheme="minorEastAsia" w:hAnsiTheme="minorEastAsia" w:cs="宋体" w:hint="eastAsia"/>
                <w:kern w:val="0"/>
                <w:sz w:val="24"/>
                <w:szCs w:val="24"/>
              </w:rPr>
              <w:br/>
              <w:t>3.《关于印发健康安徽行动——癌症防治实施方案（2020-2022年）的通知》（皖卫疾控秘〔2020〕135号）：省级癌症防治机构负责建立全省癌症防治协作网络，成立省级癌症防治专家组，开展对全省癌症防治工作的督导和技术指导工作。探索推广适宜防治技术和服务模式，开展疑难复杂和高技术要求的癌症防治工作。推广国家制订的统一规范的重点癌症筛查和早诊早治技术指南。实施癌症诊疗规范化行动，提升管理服务水平。</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疾控中心</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特殊人群</w:t>
            </w:r>
          </w:p>
        </w:tc>
      </w:tr>
      <w:tr w:rsidTr="00481B78">
        <w:tblPrEx>
          <w:tblW w:w="15109" w:type="dxa"/>
          <w:jc w:val="center"/>
          <w:shd w:val="clear" w:color="auto" w:fill="FFFFFF"/>
          <w:tblLook w:val="04A0"/>
        </w:tblPrEx>
        <w:trPr>
          <w:trHeight w:val="480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2</w:t>
            </w:r>
            <w:r w:rsidR="00B22CDB">
              <w:rPr>
                <w:rFonts w:asciiTheme="minorEastAsia" w:hAnsiTheme="minorEastAsia" w:cs="宋体" w:hint="eastAsia"/>
                <w:color w:val="000000"/>
                <w:kern w:val="0"/>
                <w:sz w:val="24"/>
                <w:szCs w:val="24"/>
              </w:rPr>
              <w:t>6</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性病皮肤病临床诊疗服务</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1.《中华人民共和国传染病防治法》第七条：各级疾病预防控制机构承担传染病监测、预测、流行病学调查、疫情报告以及其他预防、控制工作。医疗机构承担与医疗救治有关的传染病防治工作和责任区域内的传染病预防工作。城市社区和农村基层医疗机构在疾病预防控制机构的指导下，承担城市社区、农村基层相应的传染病防治工作。第二十一条：医疗机构必须严格执行国务院卫生行政部门规定的管理制度、操作规范，防止传染病的医源性感染和医院感染。医疗机构应当确定专门的部门或者人员，承担传染病疫情报告、本单位的传染病预防、控制以及责任区域内的传染病预防工作；承担医疗活动中与医院感染有关的危险因素监测、安全防护、消毒、隔离和医疗废物处置工作。疾病预防控制机构应当指定专门人员负责对医疗机构内传染病预防工作进行指导、考核，开展流行病学调查。第五十一条：医疗机构的基本标准、建筑设计和服务流程，应当符合预防传染病医院感染的要求。医疗机构应当按照规定对使用的医疗器械进行消毒；对按照规定一次使用的医疗器具，应当在使用后予以销毁。医疗机构应当按照国务院卫生行政部门规定的传染病诊断标准和治疗要求，采取相应措施，提高传染病医疗救治能力。</w:t>
            </w:r>
            <w:r w:rsidRPr="00AD4AA5">
              <w:rPr>
                <w:rFonts w:asciiTheme="minorEastAsia" w:hAnsiTheme="minorEastAsia" w:cs="宋体" w:hint="eastAsia"/>
                <w:kern w:val="0"/>
                <w:sz w:val="24"/>
                <w:szCs w:val="24"/>
              </w:rPr>
              <w:br/>
              <w:t>2.《安徽省</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办公厅关于进一步加强艾滋病防治工作的意见》〔皖政办（2013）39号〕对高危人群开展自愿咨询检测、开展健康教育，发现初筛阳性者及时转介。</w:t>
            </w:r>
            <w:r w:rsidRPr="00AD4AA5">
              <w:rPr>
                <w:rFonts w:asciiTheme="minorEastAsia" w:hAnsiTheme="minorEastAsia" w:cs="宋体" w:hint="eastAsia"/>
                <w:kern w:val="0"/>
                <w:sz w:val="24"/>
                <w:szCs w:val="24"/>
              </w:rPr>
              <w:br/>
              <w:t>3.卫生部《性病防治管理办法》、《中国预防与控制梅毒规划（2010—2020年）》：（1）性病诊疗机构首次就诊者梅毒筛查率达80%，艾滋病咨询检测点接受HIV检测者和社区药物维持治疗门诊首次服药者免费梅毒检测率达90%；（2）对省级梅毒实验室建设进行技术指导评价，组织梅毒实验室人员技术培训；（3）针对重点人群和高危人群进行梅毒咨询和检测服务。</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疾控中心</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高危人群</w:t>
            </w:r>
          </w:p>
        </w:tc>
      </w:tr>
      <w:tr w:rsidTr="00481B78">
        <w:tblPrEx>
          <w:tblW w:w="15109" w:type="dxa"/>
          <w:jc w:val="center"/>
          <w:shd w:val="clear" w:color="auto" w:fill="FFFFFF"/>
          <w:tblLook w:val="04A0"/>
        </w:tblPrEx>
        <w:trPr>
          <w:trHeight w:val="264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2</w:t>
            </w:r>
            <w:r w:rsidR="00B22CDB">
              <w:rPr>
                <w:rFonts w:asciiTheme="minorEastAsia" w:hAnsiTheme="minorEastAsia" w:cs="宋体" w:hint="eastAsia"/>
                <w:color w:val="000000"/>
                <w:kern w:val="0"/>
                <w:sz w:val="24"/>
                <w:szCs w:val="24"/>
              </w:rPr>
              <w:t>7</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麻风病健康教育</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1.《安徽省消除麻风病危害规划（2011-2020年）》：到2020年底前，全省须达到以下指标：各县（市）相关医疗卫生人员麻风病防治技能培训率达到80%；流行地区公众麻风病核心知识知晓率达到80%，麻风病密切接触者知晓率达到95%；加强健教宣传，消除社会歧视。开展多种形式的麻风病防治健康教育和健康促进活动，要以“麻风病可防可治”为主旨，加强麻风病日常宣传和“世界防治麻风病日”的集中宣传。</w:t>
            </w:r>
            <w:r w:rsidRPr="00AD4AA5">
              <w:rPr>
                <w:rFonts w:asciiTheme="minorEastAsia" w:hAnsiTheme="minorEastAsia" w:cs="宋体" w:hint="eastAsia"/>
                <w:kern w:val="0"/>
                <w:sz w:val="24"/>
                <w:szCs w:val="24"/>
              </w:rPr>
              <w:br/>
              <w:t>2.《安徽省消除麻风病危害规划实施方案（2012-2020年）》：大力普及麻风病防治知识。各级卫生部门要充分利用“世界防治麻风病日”等契机，加大麻风病防治知识宣传和政府开发力度，利用多种媒体形式，介绍麻风病相关知识和我国防治工作成效，普及麻风病可防、可治、不可怕的理念，促进政府和各有关部门进一步关注和支持麻风病防治工作，促进公众消除麻风病歧视。要将麻风病防治知识纳入基本公共卫生服务项目教育常规工作。要为宣传、教育、广电等部门开展麻风病防治宣传教育提供技术支持。</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疾控中心</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全部人群</w:t>
            </w:r>
          </w:p>
        </w:tc>
      </w:tr>
      <w:tr w:rsidTr="00481B78">
        <w:tblPrEx>
          <w:tblW w:w="15109" w:type="dxa"/>
          <w:jc w:val="center"/>
          <w:shd w:val="clear" w:color="auto" w:fill="FFFFFF"/>
          <w:tblLook w:val="04A0"/>
        </w:tblPrEx>
        <w:trPr>
          <w:trHeight w:val="480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2</w:t>
            </w:r>
            <w:r w:rsidR="00B22CDB">
              <w:rPr>
                <w:rFonts w:asciiTheme="minorEastAsia" w:hAnsiTheme="minorEastAsia" w:cs="宋体" w:hint="eastAsia"/>
                <w:color w:val="000000"/>
                <w:kern w:val="0"/>
                <w:sz w:val="24"/>
                <w:szCs w:val="24"/>
              </w:rPr>
              <w:t>8</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梅毒主动筛查</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1.《中华人民共和国传染病防治法》第七条：各级疾病预防控制机构承担传染病监测、预测、流行病学调查、疫情报告以及其他预防、控制工作。医疗机构承担与医疗救治有关的传染病防治工作和责任区域内的传染病预防工作。城市社区和农村基层医疗机构在疾病预防控制机构的指导下，承担城市社区、农村基层相应的传染病防治工作。第十七条：国家建立传染病监测制度。国务院卫生行政部门制定国家传染病监测规划和方案。省、自治区、直辖市</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卫生行政部门根据国家传染病监测规划和方案，制定本行政区域的传染病监测计划和工作方案。各级疾病预防控制机构对传染病的发生、流行以及影响其发生、流行的因素，进行监测；对国外发生、国内尚未发生的传染病或者国内新发生的传染病，进行监测。</w:t>
            </w:r>
            <w:r w:rsidRPr="00AD4AA5">
              <w:rPr>
                <w:rFonts w:asciiTheme="minorEastAsia" w:hAnsiTheme="minorEastAsia" w:cs="宋体" w:hint="eastAsia"/>
                <w:kern w:val="0"/>
                <w:sz w:val="24"/>
                <w:szCs w:val="24"/>
              </w:rPr>
              <w:br/>
              <w:t>2.《关于开展梅毒血清学实验室室间质量评价工作的通知》（卫办疾控〔2011〕186号）：对省级梅毒实验室建设进行技术指导评价，组织全省各级医疗机构梅毒实验室人员技术培训，切实加强梅毒检测质量控制和实验室能力建设，建立全省梅毒实验室检测质量控制管理网络，提高梅毒实验室检测的准确性和梅毒确证检测的可及性，探索梅毒患者转介模式，建立转介网络。</w:t>
            </w:r>
            <w:r w:rsidRPr="00AD4AA5">
              <w:rPr>
                <w:rFonts w:asciiTheme="minorEastAsia" w:hAnsiTheme="minorEastAsia" w:cs="宋体" w:hint="eastAsia"/>
                <w:kern w:val="0"/>
                <w:sz w:val="24"/>
                <w:szCs w:val="24"/>
              </w:rPr>
              <w:br/>
              <w:t>3.《中国预防与控制梅毒规划（2010—2020年）》：到2020年底，全省须达到以下指标:性病诊疗机构首次就诊者梅毒筛查率达80%，艾滋病咨询检测点接受HIV检测者和社区药物维持治疗门诊首次服药者免费梅毒检测率达90%。</w:t>
            </w:r>
            <w:r w:rsidRPr="00AD4AA5">
              <w:rPr>
                <w:rFonts w:asciiTheme="minorEastAsia" w:hAnsiTheme="minorEastAsia" w:cs="宋体" w:hint="eastAsia"/>
                <w:kern w:val="0"/>
                <w:sz w:val="24"/>
                <w:szCs w:val="24"/>
              </w:rPr>
              <w:br/>
              <w:t>4.《性病防治管理办法》第十八条：各级疾病预防控制机构应当通过多种形式在有易感染性病危险行为的人群集中的场所宣传性病防治知识，倡导安全性行为，鼓励有易感染性病危险行为的人群定期到具备性病诊疗资质的医疗机构进行性病检查。</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疾控中心</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高危人群</w:t>
            </w:r>
          </w:p>
        </w:tc>
      </w:tr>
      <w:tr w:rsidTr="00481B78">
        <w:tblPrEx>
          <w:tblW w:w="15109" w:type="dxa"/>
          <w:jc w:val="center"/>
          <w:shd w:val="clear" w:color="auto" w:fill="FFFFFF"/>
          <w:tblLook w:val="04A0"/>
        </w:tblPrEx>
        <w:trPr>
          <w:trHeight w:val="360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29</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中老年人健康教育服务</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1.国卫宣传发〔2014〕15号《全民健康素养促进行动规划（2014-2020年）》和《安徽省健康素养促进行动规划（2015-2020年）》：健康素养是指个人获取和理解基本健康信息和服务，并运用这些信息和服务做出正确决策，以维护和促进自身健康的能力。健康素养不仅是衡量卫生计生工作和人民群众健康素质的重要指标，也是对经济社会发展水平的综合反映。世界卫生组织倡导各国大力开展健康素养促进工作，为实现千年发展目标提供保障。我国健康素养从基本健康知识和理念、健康生活方式与行为、基本技能三个维度提出居民应掌握的基本知识和技能。从2008年起，在全国开展健康素养监测，逐步建立起连续、稳定的健康素养监测系统。根据2012年监测结果，我国居民基本健康素养水平为8.80%，还处于较低水平。实施全民健康素养促进行动，满足人民群众健康需求，倡导树立科学健康观，促进健康公平，营造健康文化，对于推进卫生计生事业和经济社会全面协调可持续发展具有重大意义。</w:t>
            </w:r>
            <w:r w:rsidRPr="00AD4AA5">
              <w:rPr>
                <w:rFonts w:asciiTheme="minorEastAsia" w:hAnsiTheme="minorEastAsia" w:cs="宋体" w:hint="eastAsia"/>
                <w:kern w:val="0"/>
                <w:sz w:val="24"/>
                <w:szCs w:val="24"/>
              </w:rPr>
              <w:br/>
              <w:t>2.《关于审定安徽省马鞍山老年医疗保健研究所机构编制问题的批复》（皖编字（1991）第169号）：调查老年病发病情况，做好防治老年常见病的基础研究，研究、探索长寿、抗衰老的途径和办法，办好“益寿文摘”报，为老同志健康咨询服务，普及益寿知识。</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疾控中心</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中老年人</w:t>
            </w:r>
          </w:p>
        </w:tc>
      </w:tr>
      <w:tr w:rsidTr="00481B78">
        <w:tblPrEx>
          <w:tblW w:w="15109" w:type="dxa"/>
          <w:jc w:val="center"/>
          <w:shd w:val="clear" w:color="auto" w:fill="FFFFFF"/>
          <w:tblLook w:val="04A0"/>
        </w:tblPrEx>
        <w:trPr>
          <w:trHeight w:val="192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3</w:t>
            </w:r>
            <w:r w:rsidR="00B22CDB">
              <w:rPr>
                <w:rFonts w:asciiTheme="minorEastAsia" w:hAnsiTheme="minorEastAsia" w:cs="宋体" w:hint="eastAsia"/>
                <w:color w:val="000000"/>
                <w:kern w:val="0"/>
                <w:sz w:val="24"/>
                <w:szCs w:val="24"/>
              </w:rPr>
              <w:t>0</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提供老年人权益保障服务</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1.《中华人民共和国老年人权益保障法》（中华人民共和国主席令第72号）第六条：县级以上</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负责老龄工作的机构，负责组织、协调、指导、督促有关部门做好老年人权益保障工作。</w:t>
            </w:r>
            <w:r w:rsidRPr="00AD4AA5">
              <w:rPr>
                <w:rFonts w:asciiTheme="minorEastAsia" w:hAnsiTheme="minorEastAsia" w:cs="宋体" w:hint="eastAsia"/>
                <w:kern w:val="0"/>
                <w:sz w:val="24"/>
                <w:szCs w:val="24"/>
              </w:rPr>
              <w:br/>
              <w:t>2.《安徽省实施〈中华人民共和国老年人权益保障法〉办法》（安徽省人民代表大会常务委员会公告第三十九号）第五条：各级</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领导老年人权益保障工作，健全老龄工作体制，加强老龄工作者队伍建设。县级以上</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负责老龄工作的机构，负责组织、协调、指导、督促有关部门做好老年人权益保障工作。县级以上</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有关部门，按照各自职责，做好老年人权益保障工作。</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县老龄事业发展中心</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全县60周岁以上老年人</w:t>
            </w:r>
          </w:p>
        </w:tc>
      </w:tr>
      <w:tr w:rsidTr="00481B78">
        <w:tblPrEx>
          <w:tblW w:w="15109" w:type="dxa"/>
          <w:jc w:val="center"/>
          <w:shd w:val="clear" w:color="auto" w:fill="FFFFFF"/>
          <w:tblLook w:val="04A0"/>
        </w:tblPrEx>
        <w:trPr>
          <w:trHeight w:val="216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3</w:t>
            </w:r>
            <w:r w:rsidR="00B22CDB">
              <w:rPr>
                <w:rFonts w:asciiTheme="minorEastAsia" w:hAnsiTheme="minorEastAsia" w:cs="宋体" w:hint="eastAsia"/>
                <w:color w:val="000000"/>
                <w:kern w:val="0"/>
                <w:sz w:val="24"/>
                <w:szCs w:val="24"/>
              </w:rPr>
              <w:t>1</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计划生育特别扶助（含手术并发症）</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依申请类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1、《安徽省计划生育条例》第四十一条第二款：实行计划生育家庭特别扶助制度。对独生子女死亡或者伤残的计划生育家庭，按照国家和省有关规定发给特别扶助金。</w:t>
            </w:r>
            <w:r w:rsidRPr="00AD4AA5">
              <w:rPr>
                <w:rFonts w:asciiTheme="minorEastAsia" w:hAnsiTheme="minorEastAsia" w:cs="宋体" w:hint="eastAsia"/>
                <w:kern w:val="0"/>
                <w:sz w:val="24"/>
                <w:szCs w:val="24"/>
              </w:rPr>
              <w:br/>
              <w:t>2、财政部、国家卫健委《关于调整计划生育家庭特别扶助制度扶助标准的通知》：标准：独生子女死亡家庭特别扶助金每人每月450元；独生子女伤残家庭特别扶助金每人每月350元。一级计划生育手术并发症人员特别扶助金标准为每人每月400元，二级每人每月300元，三级每人每月200元。</w:t>
            </w:r>
            <w:r w:rsidRPr="00AD4AA5">
              <w:rPr>
                <w:rFonts w:asciiTheme="minorEastAsia" w:hAnsiTheme="minorEastAsia" w:cs="宋体" w:hint="eastAsia"/>
                <w:kern w:val="0"/>
                <w:sz w:val="24"/>
                <w:szCs w:val="24"/>
              </w:rPr>
              <w:br/>
              <w:t>3、《安徽省计划生育条例》第四十二条：节育手术并发症患者在治疗期间，职工享受其在职在岗的工资、奖金、福利待遇；农民、无用工单位的城市居民因此导致生活困难的，或者治疗后仍不能正常从事劳动的，由当地</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给予补助。</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人口监测与家庭发展股</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对独生子女死亡或者伤残的计划生育家庭，按照国家和省有关规定发给特别扶助金。</w:t>
            </w:r>
          </w:p>
        </w:tc>
      </w:tr>
      <w:tr w:rsidTr="00481B78">
        <w:tblPrEx>
          <w:tblW w:w="15109" w:type="dxa"/>
          <w:jc w:val="center"/>
          <w:shd w:val="clear" w:color="auto" w:fill="FFFFFF"/>
          <w:tblLook w:val="04A0"/>
        </w:tblPrEx>
        <w:trPr>
          <w:trHeight w:val="72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3</w:t>
            </w:r>
            <w:r w:rsidR="00B22CDB">
              <w:rPr>
                <w:rFonts w:asciiTheme="minorEastAsia" w:hAnsiTheme="minorEastAsia" w:cs="宋体" w:hint="eastAsia"/>
                <w:color w:val="000000"/>
                <w:kern w:val="0"/>
                <w:sz w:val="24"/>
                <w:szCs w:val="24"/>
              </w:rPr>
              <w:t>2</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医疗机构执业许可证遗失或损坏补办</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依申请类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《医疗机构管理条例》 第三章第二十三条：《医疗机构执业许可证》不得伪造、涂改、出卖、转让、出借。《医疗机构执业许可证》遗失的，应当及时申明，并向原登记机关申请补发。</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县政务服务中心卫健委窗口</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医疗机构</w:t>
            </w:r>
          </w:p>
        </w:tc>
      </w:tr>
      <w:tr w:rsidTr="00481B78">
        <w:tblPrEx>
          <w:tblW w:w="15109" w:type="dxa"/>
          <w:jc w:val="center"/>
          <w:shd w:val="clear" w:color="auto" w:fill="FFFFFF"/>
          <w:tblLook w:val="04A0"/>
        </w:tblPrEx>
        <w:trPr>
          <w:trHeight w:val="72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3</w:t>
            </w:r>
            <w:r w:rsidR="00B22CDB">
              <w:rPr>
                <w:rFonts w:asciiTheme="minorEastAsia" w:hAnsiTheme="minorEastAsia" w:cs="宋体" w:hint="eastAsia"/>
                <w:color w:val="000000"/>
                <w:kern w:val="0"/>
                <w:sz w:val="24"/>
                <w:szCs w:val="24"/>
              </w:rPr>
              <w:t>3</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放射诊疗许可证遗失或损坏补办</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依申请类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放射诊疗许可证发放管理程序》（卫监督发〔2006〕479号）第二十三条：医疗机构遗失《放射诊疗许可证》，应当及时在发证机关所在地的主要报刊上刊登遗失公告，并在公告30日后的一个月内向原发证部门申请补办。</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县政务服务中心卫健委窗口</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医疗机构</w:t>
            </w:r>
          </w:p>
        </w:tc>
      </w:tr>
      <w:tr w:rsidTr="00481B78">
        <w:tblPrEx>
          <w:tblW w:w="15109" w:type="dxa"/>
          <w:jc w:val="center"/>
          <w:shd w:val="clear" w:color="auto" w:fill="FFFFFF"/>
          <w:tblLook w:val="04A0"/>
        </w:tblPrEx>
        <w:trPr>
          <w:trHeight w:val="72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3</w:t>
            </w:r>
            <w:r w:rsidR="00B22CDB">
              <w:rPr>
                <w:rFonts w:asciiTheme="minorEastAsia" w:hAnsiTheme="minorEastAsia" w:cs="宋体" w:hint="eastAsia"/>
                <w:color w:val="000000"/>
                <w:kern w:val="0"/>
                <w:sz w:val="24"/>
                <w:szCs w:val="24"/>
              </w:rPr>
              <w:t>4</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《职业病防治法》宣传周活动</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从2002年开始，原卫生部将每年4月的最后一周至5月1日定为全国《职业病防治法》宣传周，并每年专门发文布置开展活动。各级卫生健康主管部门将会同人力资源社会保障、工会等有关部门组织围绕一个主题联合开展《职业病防治法》宣传周活动。</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政策法规与综合监督股</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群众，重点对象为企业职工。</w:t>
            </w:r>
          </w:p>
        </w:tc>
      </w:tr>
      <w:tr w:rsidTr="00481B78">
        <w:tblPrEx>
          <w:tblW w:w="15109" w:type="dxa"/>
          <w:jc w:val="center"/>
          <w:shd w:val="clear" w:color="auto" w:fill="FFFFFF"/>
          <w:tblLook w:val="04A0"/>
        </w:tblPrEx>
        <w:trPr>
          <w:trHeight w:val="264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3</w:t>
            </w:r>
            <w:r w:rsidR="00B22CDB">
              <w:rPr>
                <w:rFonts w:asciiTheme="minorEastAsia" w:hAnsiTheme="minorEastAsia" w:cs="宋体" w:hint="eastAsia"/>
                <w:color w:val="000000"/>
                <w:kern w:val="0"/>
                <w:sz w:val="24"/>
                <w:szCs w:val="24"/>
              </w:rPr>
              <w:t>5</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晚期血吸虫病病人救治</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1.《血吸虫病防治条例》及《安徽省晚期血吸虫病病人医疗救治管理方案》（三）县（市、区）卫生行政部门负责组织实施晚期血吸虫病人医疗救治工作，建立办事规则、办事程序等各项制度；受理、审核救治对象的申请；组织医疗卫生机构开展晚期血吸虫病人医疗救治的宣传发动工作；对列入救治范围的晚期血吸虫病人进行告知；及时发现列入救治范围、需进行医疗救治晚期血吸虫病人，保证“应治尽治”政策的落实。</w:t>
            </w:r>
            <w:r w:rsidRPr="00AD4AA5">
              <w:rPr>
                <w:rFonts w:asciiTheme="minorEastAsia" w:hAnsiTheme="minorEastAsia" w:cs="宋体" w:hint="eastAsia"/>
                <w:kern w:val="0"/>
                <w:sz w:val="24"/>
                <w:szCs w:val="24"/>
              </w:rPr>
              <w:br/>
              <w:t>2.《关于印发安徽省晚期血吸虫病病人医疗救治管理方案的通知》（卫地秘〔2012〕326号）：二、医疗救治对象的确定。（三）医疗救治的程序。1、晚期血吸虫病患者向户籍所在地县级卫生行政部门提出医疗救治申请。2、县级卫生行政部门在6个工作日内审核申请人提供的个人资料、诊断结果等。对符合医疗救治条件的晚期血吸虫病病人，根据患者的病情，组织晚期血吸虫病病人医疗救治定点医疗机构按照“分期分批”的原则实施医疗救治。任何单位和个人不得随意扩大医疗救治对象。</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疾控应急妇幼股</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晚期血吸虫病病人</w:t>
            </w:r>
          </w:p>
        </w:tc>
      </w:tr>
      <w:tr w:rsidTr="00481B78">
        <w:tblPrEx>
          <w:tblW w:w="15109" w:type="dxa"/>
          <w:jc w:val="center"/>
          <w:shd w:val="clear" w:color="auto" w:fill="FFFFFF"/>
          <w:tblLook w:val="04A0"/>
        </w:tblPrEx>
        <w:trPr>
          <w:trHeight w:val="96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3</w:t>
            </w:r>
            <w:r w:rsidR="00B22CDB">
              <w:rPr>
                <w:rFonts w:asciiTheme="minorEastAsia" w:hAnsiTheme="minorEastAsia" w:cs="宋体" w:hint="eastAsia"/>
                <w:color w:val="000000"/>
                <w:kern w:val="0"/>
                <w:sz w:val="24"/>
                <w:szCs w:val="24"/>
              </w:rPr>
              <w:t>6</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艾滋病自愿咨询检测服务</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《艾滋病防治条例》第二十三条：国家实行艾滋病自愿咨询和自愿检测制度。县级以上地方</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卫生主管部门指定的医疗卫生机构，应当按照国务院卫生主管部门会同国务院其他有关部门制定的艾滋病自愿咨询和检测办法，为自愿接受艾滋病咨询、检测的人员免费提供咨询和初筛检测。</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疾控中心</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高危人群</w:t>
            </w:r>
          </w:p>
        </w:tc>
      </w:tr>
      <w:tr w:rsidTr="00481B78">
        <w:tblPrEx>
          <w:tblW w:w="15109" w:type="dxa"/>
          <w:jc w:val="center"/>
          <w:shd w:val="clear" w:color="auto" w:fill="FFFFFF"/>
          <w:tblLook w:val="04A0"/>
        </w:tblPrEx>
        <w:trPr>
          <w:trHeight w:val="240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3</w:t>
            </w:r>
            <w:r w:rsidR="00B22CDB">
              <w:rPr>
                <w:rFonts w:asciiTheme="minorEastAsia" w:hAnsiTheme="minorEastAsia" w:cs="宋体" w:hint="eastAsia"/>
                <w:color w:val="000000"/>
                <w:kern w:val="0"/>
                <w:sz w:val="24"/>
                <w:szCs w:val="24"/>
              </w:rPr>
              <w:t>7</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无偿献血者用血报销服务</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1.《中华人民共和国献血法》第十四条：公民临床用血时只交付用于血液的采集、储存、分离、检验等费用；具体收费标准由国务院卫生行政部门会同国务院价格主管部门制定。无偿献血者临床需要用血时，免交前款规定的费用；无偿献血者的配偶和直系亲属临床需要用血时，可以按照省、市、自治区、直辖市</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的规定免交或者减交前款规定的费用。</w:t>
            </w:r>
            <w:r w:rsidRPr="00AD4AA5">
              <w:rPr>
                <w:rFonts w:asciiTheme="minorEastAsia" w:hAnsiTheme="minorEastAsia" w:cs="宋体" w:hint="eastAsia"/>
                <w:kern w:val="0"/>
                <w:sz w:val="24"/>
                <w:szCs w:val="24"/>
              </w:rPr>
              <w:br/>
              <w:t>2.安徽省实施《中华人民共和国献血法》办法第十六条 实行个人储血用血制度。无偿献血的公民，本人临床用血时，凭本人身份证和《无偿献血证》，按无偿献血量二倍免费用血。公民无偿献血达1000毫升的，终身享受免费用血。第十七条 实行家庭成员互助用血制度。无偿献血的公民，其配偶和直系亲属临床用血时凭其《无</w:t>
            </w:r>
            <w:r w:rsidRPr="00AD4AA5">
              <w:rPr>
                <w:rFonts w:asciiTheme="minorEastAsia" w:hAnsiTheme="minorEastAsia" w:cs="宋体" w:hint="eastAsia"/>
                <w:kern w:val="0"/>
                <w:sz w:val="24"/>
                <w:szCs w:val="24"/>
              </w:rPr>
              <w:t>偿献血证》和有关证明，按无偿献血量等量半费用血；有条件的地方，可以按无偿献血等量免费用血。</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医政医管股</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自然人</w:t>
            </w:r>
          </w:p>
        </w:tc>
      </w:tr>
      <w:tr w:rsidTr="00481B78">
        <w:tblPrEx>
          <w:tblW w:w="15109" w:type="dxa"/>
          <w:jc w:val="center"/>
          <w:shd w:val="clear" w:color="auto" w:fill="FFFFFF"/>
          <w:tblLook w:val="04A0"/>
        </w:tblPrEx>
        <w:trPr>
          <w:trHeight w:val="552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3</w:t>
            </w:r>
            <w:r w:rsidR="00B22CDB">
              <w:rPr>
                <w:rFonts w:asciiTheme="minorEastAsia" w:hAnsiTheme="minorEastAsia" w:cs="宋体" w:hint="eastAsia"/>
                <w:color w:val="000000"/>
                <w:kern w:val="0"/>
                <w:sz w:val="24"/>
                <w:szCs w:val="24"/>
              </w:rPr>
              <w:t>8</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计划生育特殊困难家庭老年护理补贴</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依申请类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《安徽省卫生计生委 安徽省民政厅关于印发安徽省计划生育特殊困难家庭老年护理补贴制度实施办法的通知》计划生育特殊困难家庭老年护理补贴对象的资格确认，按照本人申报、失能评估、审批确认、建立档案、年度审查的程序进行，每季度或半年集中组织一次。 二、资格确认。</w:t>
            </w:r>
            <w:r w:rsidRPr="00AD4AA5">
              <w:rPr>
                <w:rFonts w:asciiTheme="minorEastAsia" w:hAnsiTheme="minorEastAsia" w:cs="宋体" w:hint="eastAsia"/>
                <w:kern w:val="0"/>
                <w:sz w:val="24"/>
                <w:szCs w:val="24"/>
              </w:rPr>
              <w:br/>
              <w:t>   （一）本人申报。申报对象本人或其亲属（监护人）提出申请，由村（居）计划生育干部协助，填写《安徽省计划生育特殊困难家庭老年护理补贴申报表》（简称《申报表》，一式三份，贴申请人本人近照），并提供相关证明材料（包括子女死亡证明或残疾证、身份证、户口本等），经村（居）委会评议、签署意见并加盖公章后，报乡镇</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（街道办事处）。乡镇</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（街道办事处）对申报材料进行审核，汇总报送县级计生行政部门。（二）失能评估。失能评估由县级民政部门负责组织。县级计生行政部门对乡镇</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街道办事处）报送的申报材料进行审核，并会同民政部门进行研究，组织由民政、计生、社区负责人组成的评估小组或委托社会第三方评估机构，按照民政部发布的《老年人能力评估》（MZ-T001-2013）评定标准，入户对申请人身体状况进行评估，在《申报表》上填写身体评估情况、认定失能等级，并由评估人员签字确认。（三）审批确认。对拟符合条件的对象，在申请人所在村组（社区）进行公示，经公示无异议的，县级计生行政部门在《申报表》上签署意见，审批确认，纳入护理补贴发放范围。对未通</w:t>
            </w:r>
            <w:r w:rsidRPr="00AD4AA5">
              <w:rPr>
                <w:rFonts w:asciiTheme="minorEastAsia" w:hAnsiTheme="minorEastAsia" w:cs="宋体" w:hint="eastAsia"/>
                <w:kern w:val="0"/>
                <w:sz w:val="24"/>
                <w:szCs w:val="24"/>
              </w:rPr>
              <w:t>过审批的申报人员，须入户告知其本人或亲属，并做好解释工作。</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人口监测与家庭发展股</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本人申报。申报对象本人或其亲属（监护人）提出申请，由村（居）计划生育干部协助，填写《安徽省计划生育特殊困难家庭老年护理补贴申报表》（简称《申报表》，一式三份，贴申请人本人近照），并提供相关证明材料（包括子女死亡证明或残疾证、身份证、户口本等），经村（居）委会评议、签署意</w:t>
            </w:r>
            <w:r w:rsidRPr="00AD4AA5">
              <w:rPr>
                <w:rFonts w:asciiTheme="minorEastAsia" w:hAnsiTheme="minorEastAsia" w:cs="宋体" w:hint="eastAsia"/>
                <w:kern w:val="0"/>
                <w:sz w:val="24"/>
                <w:szCs w:val="24"/>
              </w:rPr>
              <w:t>见并加盖公章后，报乡镇</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（街道办事处）。乡镇</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（街道办事处）对申报材料进行审核，汇总报送县级计生行政部门。（二）失能评估。失能评估由县级民政部门负责组织。县级计生行政部门对乡镇</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街道办事处）报送的申报材料进行审核，并会同民政部门进行研究，组织由民政、计生、社区负责人组成的评估小组或委托社会第三方评估机构，按照民政部发布的《老年人能力评估》（MZ-T001-2013）评定标准，入户对</w:t>
            </w:r>
            <w:r w:rsidRPr="00AD4AA5">
              <w:rPr>
                <w:rFonts w:asciiTheme="minorEastAsia" w:hAnsiTheme="minorEastAsia" w:cs="宋体" w:hint="eastAsia"/>
                <w:kern w:val="0"/>
                <w:sz w:val="24"/>
                <w:szCs w:val="24"/>
              </w:rPr>
              <w:t>申请人身体状况进行评估，在《申报表》上填写身体评估情况、认定失能等级，并由评估人员签字确认。</w:t>
            </w:r>
          </w:p>
        </w:tc>
      </w:tr>
      <w:tr w:rsidTr="00481B78">
        <w:tblPrEx>
          <w:tblW w:w="15109" w:type="dxa"/>
          <w:jc w:val="center"/>
          <w:shd w:val="clear" w:color="auto" w:fill="FFFFFF"/>
          <w:tblLook w:val="04A0"/>
        </w:tblPrEx>
        <w:trPr>
          <w:trHeight w:val="216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39</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出生医学证明补发</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依申请类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1、《中华人民共和国母婴保健法》第二十三条：医疗保健机构和从事家庭接生的人员按照国务院卫生行政部门的规定，出具统一制发的新生儿出生医学证明；有产妇和婴儿死亡以及新生儿出生缺陷情况的，应当向卫生行政部门报告。</w:t>
            </w:r>
            <w:r w:rsidRPr="00AD4AA5">
              <w:rPr>
                <w:rFonts w:asciiTheme="minorEastAsia" w:hAnsiTheme="minorEastAsia" w:cs="宋体" w:hint="eastAsia"/>
                <w:kern w:val="0"/>
                <w:sz w:val="24"/>
                <w:szCs w:val="24"/>
              </w:rPr>
              <w:br/>
              <w:t>2、《安徽省实施&lt;中华人民共和国母婴保健法&gt;办法》第二十一条：妇幼保健院（所）或乡（镇）卫生院依据孕产妇保健手册（卡）中的分娩记录，出具国务院卫生行政部门统一制发的新生儿《出生医学证明》。</w:t>
            </w:r>
            <w:r w:rsidRPr="00AD4AA5">
              <w:rPr>
                <w:rFonts w:asciiTheme="minorEastAsia" w:hAnsiTheme="minorEastAsia" w:cs="宋体" w:hint="eastAsia"/>
                <w:kern w:val="0"/>
                <w:sz w:val="24"/>
                <w:szCs w:val="24"/>
              </w:rPr>
              <w:br/>
              <w:t> </w:t>
            </w:r>
            <w:r w:rsidRPr="00AD4AA5">
              <w:rPr>
                <w:rFonts w:asciiTheme="minorEastAsia" w:hAnsiTheme="minorEastAsia" w:cs="仿宋" w:hint="eastAsia"/>
                <w:kern w:val="0"/>
                <w:sz w:val="24"/>
                <w:szCs w:val="24"/>
              </w:rPr>
              <w:t>3</w:t>
            </w:r>
            <w:r w:rsidRPr="00AD4AA5">
              <w:rPr>
                <w:rFonts w:asciiTheme="minorEastAsia" w:hAnsiTheme="minorEastAsia" w:cs="宋体" w:hint="eastAsia"/>
                <w:kern w:val="0"/>
                <w:sz w:val="24"/>
                <w:szCs w:val="24"/>
              </w:rPr>
              <w:t>、《安徽省&lt;出生医学证明&gt;管理办法》(卫妇幼秘〔2015〕16号）第三十五条  因</w:t>
            </w:r>
            <w:r w:rsidRPr="00AD4AA5">
              <w:rPr>
                <w:rFonts w:asciiTheme="minorEastAsia" w:hAnsiTheme="minorEastAsia" w:cs="宋体" w:hint="eastAsia"/>
                <w:kern w:val="0"/>
                <w:sz w:val="24"/>
                <w:szCs w:val="24"/>
              </w:rPr>
              <w:t>遗失、被盗等情况丧失《出生医学证明》原件正页或者副页的，可以向原签发机构所在地县（区、市）委托管理机构申请补发。</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妇幼保健计划生育服务中心</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县内医疗机构分娩的出生人口。</w:t>
            </w:r>
          </w:p>
        </w:tc>
      </w:tr>
      <w:tr w:rsidTr="00481B78">
        <w:tblPrEx>
          <w:tblW w:w="15109" w:type="dxa"/>
          <w:jc w:val="center"/>
          <w:shd w:val="clear" w:color="auto" w:fill="FFFFFF"/>
          <w:tblLook w:val="04A0"/>
        </w:tblPrEx>
        <w:trPr>
          <w:trHeight w:val="192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4</w:t>
            </w:r>
            <w:r w:rsidR="00B22CDB">
              <w:rPr>
                <w:rFonts w:asciiTheme="minorEastAsia" w:hAnsiTheme="minorEastAsia" w:cs="宋体" w:hint="eastAsia"/>
                <w:color w:val="000000"/>
                <w:kern w:val="0"/>
                <w:sz w:val="24"/>
                <w:szCs w:val="24"/>
              </w:rPr>
              <w:t>0</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计划生育临床医疗服务</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依申请类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计划生育技术服务管理条例实施细则》第十二条：与计划生育有关的临床医疗服务包括下列内容：（一）避孕和节育的医学检查，主要指按照避孕、节育技术常规，为了排除禁忌证、掌握适应证而进行的术前健康检查以及术后康复和保证避孕安全、有效所需要的检查；（二）各种计划生育手术并发症和计划生育药具不良反应的诊断、鉴定和治疗；（三）施行各种避孕、节育手术和输卵（精）管复通术等恢复生育力的手术以及与施行手术相关的临床医学诊断和治疗；（四）根据国家计划生育委员会和卫生部共同制定的有关规定，开展围绕生育、节育、不育的其他生殖保健服务；（五）病残儿医学鉴定中必要的检查、观察、诊断、治疗活动。</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妇幼保健计划生育服务中心</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全县计划生育技术服务对象</w:t>
            </w:r>
          </w:p>
        </w:tc>
      </w:tr>
      <w:tr w:rsidTr="00481B78">
        <w:tblPrEx>
          <w:tblW w:w="15109" w:type="dxa"/>
          <w:jc w:val="center"/>
          <w:shd w:val="clear" w:color="auto" w:fill="FFFFFF"/>
          <w:tblLook w:val="04A0"/>
        </w:tblPrEx>
        <w:trPr>
          <w:trHeight w:val="264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4</w:t>
            </w:r>
            <w:r w:rsidR="00B22CDB">
              <w:rPr>
                <w:rFonts w:asciiTheme="minorEastAsia" w:hAnsiTheme="minorEastAsia" w:cs="宋体" w:hint="eastAsia"/>
                <w:color w:val="000000"/>
                <w:kern w:val="0"/>
                <w:sz w:val="24"/>
                <w:szCs w:val="24"/>
              </w:rPr>
              <w:t>1</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预防接种服务</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主动服务类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1、《中华人民共和国疫苗管理法》第四十四条：县级以上地方</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主管部门制定符合条件的医疗机构承担责任区域内免疫规划疫苗接种工作。（已改为疫苗管理法）</w:t>
            </w:r>
            <w:r w:rsidRPr="00AD4AA5">
              <w:rPr>
                <w:rFonts w:asciiTheme="minorEastAsia" w:hAnsiTheme="minorEastAsia" w:cs="宋体" w:hint="eastAsia"/>
                <w:kern w:val="0"/>
                <w:sz w:val="24"/>
                <w:szCs w:val="24"/>
              </w:rPr>
              <w:br/>
              <w:t>2、《中华人民共和国传染病防治法》第十五条：国家实行有计划的预防接种制度。国务院卫生行政部门和省、自治区、直辖市</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卫生行政部门，根据传染病预防、控制的需要，制定传染病预防接种规划并组织实施。用于预防接种的疫苗必须符合国家质量标准。 国家对儿童实行预防接种证制度。国家免疫规划项目的预防接种实行免费。医疗机构、疾病预防控制机构与儿童的监护人应当相互配合，保证儿童及时接受预防接种。具体办法由国务院制定。</w:t>
            </w:r>
            <w:r w:rsidRPr="00AD4AA5">
              <w:rPr>
                <w:rFonts w:asciiTheme="minorEastAsia" w:hAnsiTheme="minorEastAsia" w:cs="宋体" w:hint="eastAsia"/>
                <w:kern w:val="0"/>
                <w:sz w:val="24"/>
                <w:szCs w:val="24"/>
              </w:rPr>
              <w:br/>
              <w:t>3、《关于做好2016年国家基本公共卫生服务项目工作的通知》（国卫基层发〔2016〕</w:t>
            </w:r>
            <w:r w:rsidRPr="00AD4AA5">
              <w:rPr>
                <w:rFonts w:asciiTheme="minorEastAsia" w:hAnsiTheme="minorEastAsia" w:cs="宋体" w:hint="eastAsia"/>
                <w:kern w:val="0"/>
                <w:sz w:val="24"/>
                <w:szCs w:val="24"/>
              </w:rPr>
              <w:t>27号）：二、明确工作任务目标,——以乡镇（街道）为单位，适龄儿童国家免疫规划疫苗接种率保持在90%以上，进一步加强流动儿童的接种工作。</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疾控中心</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适龄儿童</w:t>
            </w:r>
          </w:p>
        </w:tc>
      </w:tr>
      <w:tr w:rsidTr="00481B78">
        <w:tblPrEx>
          <w:tblW w:w="15109" w:type="dxa"/>
          <w:jc w:val="center"/>
          <w:shd w:val="clear" w:color="auto" w:fill="FFFFFF"/>
          <w:tblLook w:val="04A0"/>
        </w:tblPrEx>
        <w:trPr>
          <w:trHeight w:val="432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4</w:t>
            </w:r>
            <w:r w:rsidR="00B22CDB">
              <w:rPr>
                <w:rFonts w:asciiTheme="minorEastAsia" w:hAnsiTheme="minorEastAsia" w:cs="宋体" w:hint="eastAsia"/>
                <w:color w:val="000000"/>
                <w:kern w:val="0"/>
                <w:sz w:val="24"/>
                <w:szCs w:val="24"/>
              </w:rPr>
              <w:t>2</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退出村医身份、工龄认定及补助发放</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依申请类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《关于认真做好退出村医生活补助工作的实施意见》（皖卫基层〔2015〕17号） ：一、补助对象 现为安徽省农业户籍（含原属农业户籍，因地域划转、征地拆迁或购买城镇户口的），具有相应的执业资质，2009年底前进入生产大队合作医疗站（卫生室）或县级卫生行政部门许可的村卫生室（含村改居的原村卫生室），从事村医工作累计超过3年（含3年），2014年</w:t>
            </w:r>
            <w:r w:rsidRPr="00AD4AA5">
              <w:rPr>
                <w:rFonts w:asciiTheme="minorEastAsia" w:hAnsiTheme="minorEastAsia" w:cs="宋体" w:hint="eastAsia"/>
                <w:kern w:val="0"/>
                <w:sz w:val="24"/>
                <w:szCs w:val="24"/>
              </w:rPr>
              <w:t>12月29日</w:t>
            </w:r>
            <w:r w:rsidRPr="00AD4AA5">
              <w:rPr>
                <w:rFonts w:asciiTheme="minorEastAsia" w:hAnsiTheme="minorEastAsia" w:cs="宋体" w:hint="eastAsia"/>
                <w:kern w:val="0"/>
                <w:sz w:val="24"/>
                <w:szCs w:val="24"/>
              </w:rPr>
              <w:t>前已退出村医岗位或在岗已年满60周岁，未参加城镇职工养老保险，从到龄（年满60周岁）且退出的次月起发放补助（不满60周岁退出的村医，从到龄的次月起发放补助；年满60周岁退出的村医，从退出的次月起发放补助）。因刑事犯罪、被吊销执业证书或违反国家政策规定被辞退、开除的，不享受此项补助。四、认定办法：坚持以县（市、区）为主，按照尊重历史、公开公正、客观真实的原则，积极稳妥地开展认定工作，确保认定信息准确无误。人员身份和工作年限的认定程序：1．个人向乡镇（街道）认定工作小组提出申请，并提供相关原始材料。2．乡镇（街道）认定工作小组进行初审核实。初审结果在乡镇、村医原工作的村卫生室公示不少于2周。公示无异议的，报县（市、区）审核。3．县（市、区）退出村医生活补助专项工作领导小组再次对个人提出的申请和相关原始材料进行审核。4．县级审核结果在村医原工作的乡镇以及村卫生室再公示不少于2周。公示内容包括审核通过的人员及依据。5．县（市、区）退出村医生活补助专项工作领导小组根据县、乡两级审核公示均无异议的人员，核定发放</w:t>
            </w:r>
            <w:r w:rsidRPr="00AD4AA5">
              <w:rPr>
                <w:rFonts w:asciiTheme="minorEastAsia" w:hAnsiTheme="minorEastAsia" w:cs="宋体" w:hint="eastAsia"/>
                <w:kern w:val="0"/>
                <w:sz w:val="24"/>
                <w:szCs w:val="24"/>
              </w:rPr>
              <w:t>补助名单；并经设区的市退出村医生活补助工作小组汇总，将发放名单报省卫生计生委、省财政、省人力资源社会保障厅备案。</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药政与中医药发展股</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到龄退出村医</w:t>
            </w:r>
          </w:p>
        </w:tc>
      </w:tr>
      <w:tr w:rsidTr="00481B78">
        <w:tblPrEx>
          <w:tblW w:w="15109" w:type="dxa"/>
          <w:jc w:val="center"/>
          <w:shd w:val="clear" w:color="auto" w:fill="FFFFFF"/>
          <w:tblLook w:val="04A0"/>
        </w:tblPrEx>
        <w:trPr>
          <w:trHeight w:val="336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4</w:t>
            </w:r>
            <w:r w:rsidR="00B22CDB">
              <w:rPr>
                <w:rFonts w:asciiTheme="minorEastAsia" w:hAnsiTheme="minorEastAsia" w:cs="宋体" w:hint="eastAsia"/>
                <w:color w:val="000000"/>
                <w:kern w:val="0"/>
                <w:sz w:val="24"/>
                <w:szCs w:val="24"/>
              </w:rPr>
              <w:t>3</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领取独生子女父母光荣证的企业退休职工一次性奖励</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依申请类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《安徽省人口与计划生育条例》第三十九条：在国家提倡一对夫妻生育一个子女期间，自愿终身只生育一个子女的夫妻，可以向户籍所在地的乡(镇)</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或者街道办事处申请，免费领取独生子女父母光荣证，并享受下列奖励和优待：企业职工退休时，给予一次性补助，具体标准由所在地设区的市、县级</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确定。所需经费，是国家机关和事业单位、国有企业职工的，由所在单位承担；其他人员由户籍所在地设区的市、县级</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承担。国有企业改制、破产的，其退休职工计划生育奖励资金的发放依照国家和省</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有关规定执行；第四十三条：终身无子女或者领取独生子女父母光荣证后子女死亡不再生育的职工，退休时按百分之百发给退休金或者给予一次性补助。一次性补助标准，由户籍所在地设区的市、县级</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确定。所需经费，由户籍所在地设区的市、县级</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承担。</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人口监测与家庭发展股</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在国家提倡一对夫妻生育一个子女期间，自愿终身只生育一个子女的夫妻，可以向户籍所在地的乡(镇)</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或者街道办事处申请，免费领取独生子女父母光荣证，并享受下列奖励和优待：企业职</w:t>
            </w:r>
            <w:r w:rsidRPr="00AD4AA5">
              <w:rPr>
                <w:rFonts w:asciiTheme="minorEastAsia" w:hAnsiTheme="minorEastAsia" w:cs="宋体" w:hint="eastAsia"/>
                <w:kern w:val="0"/>
                <w:sz w:val="24"/>
                <w:szCs w:val="24"/>
              </w:rPr>
              <w:t>工退休时，给予一次性补助，具体标准由所在地设区的市、县级</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确定。所需经费，是国家机关和事业单位、国有企业职工的，由所在单位承担；其他人员由户籍所在地设区的市、县级</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承担。国有企业改制、破产的，其退休职工计划生育奖励资金的发放依照国家和省</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有关规定执行</w:t>
            </w:r>
          </w:p>
        </w:tc>
      </w:tr>
      <w:tr w:rsidTr="00481B78">
        <w:tblPrEx>
          <w:tblW w:w="15109" w:type="dxa"/>
          <w:jc w:val="center"/>
          <w:shd w:val="clear" w:color="auto" w:fill="FFFFFF"/>
          <w:tblLook w:val="04A0"/>
        </w:tblPrEx>
        <w:trPr>
          <w:trHeight w:val="72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4</w:t>
            </w:r>
            <w:r w:rsidR="00B22CDB">
              <w:rPr>
                <w:rFonts w:asciiTheme="minorEastAsia" w:hAnsiTheme="minorEastAsia" w:cs="宋体" w:hint="eastAsia"/>
                <w:color w:val="000000"/>
                <w:kern w:val="0"/>
                <w:sz w:val="24"/>
                <w:szCs w:val="24"/>
              </w:rPr>
              <w:t>4</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放射工作人员证遗失、损毁补（换）发</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依申请类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《放射工作人员职业健康管理办法》第六条：放射工作人员上岗前，放射工作单位负责向所在地县级以上地方</w:t>
            </w:r>
            <w:r w:rsidRPr="00AD4AA5">
              <w:rPr>
                <w:rFonts w:asciiTheme="minorEastAsia" w:hAnsiTheme="minorEastAsia" w:cs="宋体" w:hint="eastAsia"/>
                <w:kern w:val="0"/>
                <w:sz w:val="24"/>
                <w:szCs w:val="24"/>
              </w:rPr>
              <w:t>人民</w:t>
            </w:r>
            <w:r w:rsidRPr="00AD4AA5">
              <w:rPr>
                <w:rFonts w:asciiTheme="minorEastAsia" w:hAnsiTheme="minorEastAsia" w:cs="宋体" w:hint="eastAsia"/>
                <w:kern w:val="0"/>
                <w:sz w:val="24"/>
                <w:szCs w:val="24"/>
              </w:rPr>
              <w:t>政府</w:t>
            </w:r>
            <w:r w:rsidRPr="00AD4AA5">
              <w:rPr>
                <w:rFonts w:asciiTheme="minorEastAsia" w:hAnsiTheme="minorEastAsia" w:cs="宋体" w:hint="eastAsia"/>
                <w:kern w:val="0"/>
                <w:sz w:val="24"/>
                <w:szCs w:val="24"/>
              </w:rPr>
              <w:t>卫生行政部门为其申请办理《放射工作人员证》。</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县政务服务中心卫健委窗口</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自然人或医疗机构</w:t>
            </w:r>
          </w:p>
        </w:tc>
      </w:tr>
      <w:tr w:rsidTr="00481B78">
        <w:tblPrEx>
          <w:tblW w:w="15109" w:type="dxa"/>
          <w:jc w:val="center"/>
          <w:shd w:val="clear" w:color="auto" w:fill="FFFFFF"/>
          <w:tblLook w:val="04A0"/>
        </w:tblPrEx>
        <w:trPr>
          <w:trHeight w:val="72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4</w:t>
            </w:r>
            <w:r w:rsidR="00B22CDB">
              <w:rPr>
                <w:rFonts w:asciiTheme="minorEastAsia" w:hAnsiTheme="minorEastAsia" w:cs="宋体" w:hint="eastAsia"/>
                <w:color w:val="000000"/>
                <w:kern w:val="0"/>
                <w:sz w:val="24"/>
                <w:szCs w:val="24"/>
              </w:rPr>
              <w:t>5</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公共场所卫生许可证遗失或损坏补办</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依申请类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《关于进一步做好公共场所卫生行政许可工作的通知》（卫监督秘〔2013〕143号）：卫生许可证遗失的，应及时刊登遗失启事并申请补发卫生许可证，补发的卫生许可证重新编号，有效期不变。</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县政务服务中心卫健委窗口</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医疗机构</w:t>
            </w:r>
          </w:p>
        </w:tc>
      </w:tr>
      <w:tr w:rsidTr="00481B78">
        <w:tblPrEx>
          <w:tblW w:w="15109" w:type="dxa"/>
          <w:jc w:val="center"/>
          <w:shd w:val="clear" w:color="auto" w:fill="FFFFFF"/>
          <w:tblLook w:val="04A0"/>
        </w:tblPrEx>
        <w:trPr>
          <w:trHeight w:val="96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4</w:t>
            </w:r>
            <w:r w:rsidR="00B22CDB">
              <w:rPr>
                <w:rFonts w:asciiTheme="minorEastAsia" w:hAnsiTheme="minorEastAsia" w:cs="宋体" w:hint="eastAsia"/>
                <w:color w:val="000000"/>
                <w:kern w:val="0"/>
                <w:sz w:val="24"/>
                <w:szCs w:val="24"/>
              </w:rPr>
              <w:t>6</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失独计划生育困难家庭紧急救助</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依申请类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关于进一步做好计划生育特殊困难家庭扶助工作的意见》（皖政办〔2014〕16号）：11.实施紧急慰籍。对领取独生子女父母光荣证后，发生独生子女死亡的家庭，由省人口基金一次性发放不少于3000元的紧急抚慰金。独生子女家庭因病、因灾、因意外事故等突发性事件，造成家庭主要成员伤残或死亡的，给予紧急救助。</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人口监测与家庭发展股</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对领取独生子女父母光荣证后，发生独生子女死亡的家庭，由省人口基金一次性发放不少于3000元的紧急抚慰金。</w:t>
            </w:r>
          </w:p>
        </w:tc>
      </w:tr>
      <w:tr w:rsidTr="00481B78">
        <w:tblPrEx>
          <w:tblW w:w="15109" w:type="dxa"/>
          <w:jc w:val="center"/>
          <w:shd w:val="clear" w:color="auto" w:fill="FFFFFF"/>
          <w:tblLook w:val="04A0"/>
        </w:tblPrEx>
        <w:trPr>
          <w:trHeight w:val="2400"/>
          <w:jc w:val="center"/>
        </w:trPr>
        <w:tc>
          <w:tcPr>
            <w:tcW w:w="696"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color w:val="000000"/>
                <w:kern w:val="0"/>
                <w:sz w:val="24"/>
                <w:szCs w:val="24"/>
              </w:rPr>
            </w:pPr>
            <w:r w:rsidRPr="00AD4AA5">
              <w:rPr>
                <w:rFonts w:asciiTheme="minorEastAsia" w:hAnsiTheme="minorEastAsia" w:cs="宋体" w:hint="eastAsia"/>
                <w:color w:val="000000"/>
                <w:kern w:val="0"/>
                <w:sz w:val="24"/>
                <w:szCs w:val="24"/>
              </w:rPr>
              <w:t>4</w:t>
            </w:r>
            <w:r w:rsidR="00B22CDB">
              <w:rPr>
                <w:rFonts w:asciiTheme="minorEastAsia" w:hAnsiTheme="minorEastAsia" w:cs="宋体" w:hint="eastAsia"/>
                <w:color w:val="000000"/>
                <w:kern w:val="0"/>
                <w:sz w:val="24"/>
                <w:szCs w:val="24"/>
              </w:rPr>
              <w:t>7</w:t>
            </w:r>
          </w:p>
        </w:tc>
        <w:tc>
          <w:tcPr>
            <w:tcW w:w="1418"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计划生育困难再生育补助</w:t>
            </w:r>
          </w:p>
        </w:tc>
        <w:tc>
          <w:tcPr>
            <w:tcW w:w="992" w:type="dxa"/>
            <w:shd w:val="clear" w:color="auto" w:fill="FFFFFF"/>
            <w:tcMar>
              <w:top w:w="12" w:type="dxa"/>
              <w:left w:w="12" w:type="dxa"/>
              <w:bottom w:w="60" w:type="dxa"/>
              <w:right w:w="12" w:type="dxa"/>
            </w:tcMar>
          </w:tcPr>
          <w:p w:rsidR="00481B78" w:rsidRPr="00AD4AA5" w:rsidP="00AD4AA5">
            <w:pPr>
              <w:widowControl/>
              <w:spacing w:line="264" w:lineRule="atLeast"/>
              <w:jc w:val="left"/>
              <w:rPr>
                <w:rFonts w:asciiTheme="minorEastAsia" w:hAnsiTheme="minorEastAsia" w:cs="宋体"/>
                <w:kern w:val="0"/>
                <w:sz w:val="24"/>
                <w:szCs w:val="24"/>
              </w:rPr>
            </w:pPr>
            <w:r w:rsidRPr="001D0519">
              <w:rPr>
                <w:rFonts w:ascii="宋体" w:eastAsia="宋体" w:hAnsi="宋体" w:cs="宋体"/>
                <w:color w:val="000000"/>
                <w:kern w:val="0"/>
                <w:sz w:val="22"/>
              </w:rPr>
              <w:t>依申请类</w:t>
            </w:r>
          </w:p>
        </w:tc>
        <w:tc>
          <w:tcPr>
            <w:tcW w:w="8700"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left"/>
              <w:rPr>
                <w:rFonts w:asciiTheme="minorEastAsia" w:hAnsiTheme="minorEastAsia" w:cs="宋体"/>
                <w:kern w:val="0"/>
                <w:sz w:val="24"/>
                <w:szCs w:val="24"/>
              </w:rPr>
            </w:pPr>
            <w:r w:rsidRPr="00AD4AA5">
              <w:rPr>
                <w:rFonts w:asciiTheme="minorEastAsia" w:hAnsiTheme="minorEastAsia" w:cs="宋体" w:hint="eastAsia"/>
                <w:kern w:val="0"/>
                <w:sz w:val="24"/>
                <w:szCs w:val="24"/>
              </w:rPr>
              <w:t>关于进一步做好计划生育特殊困难家庭扶助工作的意见（皖政办[2014]16号）8.建立完善再生育扶助制度。对有再生育意愿的独生子女伤残死亡家庭人员，参加生育保险或城镇职工基本医疗保险、城镇居民基本医疗保险、新型农村合作医疗保险的，将其接受取环、输卵（精）管复通等计划生育手术及再生育服务的医疗费用纳入基本医疗保险支付范围，按各基本医疗保险补偿规定报销。免费向农村居民提供取环、输卵（精）管复通等计划生育手术服务，并给予住院分娩补助。对确需实施辅助生殖技术的，由指定医疗机构提供相应技术服务，其基本项目的服务费用分别纳入城镇职工基本医疗保险、城镇居民基本医疗保险、新型农村合作医疗保险统筹基金支付范围，统筹基金最高支付限额暂定为2万元。超出统筹基金支付限额的部分，再由省人口基金在1万元限额内据实给予补助。</w:t>
            </w:r>
          </w:p>
        </w:tc>
        <w:tc>
          <w:tcPr>
            <w:tcW w:w="1359"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人口监测与家庭发展股</w:t>
            </w:r>
          </w:p>
        </w:tc>
        <w:tc>
          <w:tcPr>
            <w:tcW w:w="1944" w:type="dxa"/>
            <w:shd w:val="clear" w:color="auto" w:fill="FFFFFF"/>
            <w:tcMar>
              <w:top w:w="12" w:type="dxa"/>
              <w:left w:w="12" w:type="dxa"/>
              <w:bottom w:w="60" w:type="dxa"/>
              <w:right w:w="12" w:type="dxa"/>
            </w:tcMar>
            <w:vAlign w:val="center"/>
            <w:hideMark/>
          </w:tcPr>
          <w:p w:rsidR="00481B78" w:rsidRPr="00AD4AA5" w:rsidP="00AD4AA5">
            <w:pPr>
              <w:widowControl/>
              <w:spacing w:line="264" w:lineRule="atLeast"/>
              <w:jc w:val="center"/>
              <w:rPr>
                <w:rFonts w:asciiTheme="minorEastAsia" w:hAnsiTheme="minorEastAsia" w:cs="宋体"/>
                <w:kern w:val="0"/>
                <w:sz w:val="24"/>
                <w:szCs w:val="24"/>
              </w:rPr>
            </w:pPr>
            <w:r w:rsidRPr="00AD4AA5">
              <w:rPr>
                <w:rFonts w:asciiTheme="minorEastAsia" w:hAnsiTheme="minorEastAsia" w:cs="宋体" w:hint="eastAsia"/>
                <w:kern w:val="0"/>
                <w:sz w:val="24"/>
                <w:szCs w:val="24"/>
              </w:rPr>
              <w:t>对有再生育意愿的独生子女伤残死亡家庭人员，参加生育保险或城镇职工基本医疗保险、城镇居民基本医疗保险、新型农村合作医疗保险的，将其接受取环、输卵（精）管复通等计划生育手术及再生育服务的医疗费用纳入基本医疗保险支付范围，按各基本医疗保险补偿规定报销。免费向农村居民提供取环、输卵（精）管复通</w:t>
            </w:r>
            <w:r w:rsidRPr="00AD4AA5">
              <w:rPr>
                <w:rFonts w:asciiTheme="minorEastAsia" w:hAnsiTheme="minorEastAsia" w:cs="宋体" w:hint="eastAsia"/>
                <w:kern w:val="0"/>
                <w:sz w:val="24"/>
                <w:szCs w:val="24"/>
              </w:rPr>
              <w:t>等计划生育手术服务，并给予住院分娩补助。</w:t>
            </w:r>
          </w:p>
        </w:tc>
      </w:tr>
    </w:tbl>
    <w:p w:rsidR="00AD4AA5" w:rsidP="00AD4AA5">
      <w:pPr>
        <w:jc w:val="center"/>
        <w:rPr>
          <w:rFonts w:asciiTheme="minorEastAsia" w:hAnsiTheme="minorEastAsia"/>
          <w:sz w:val="24"/>
          <w:szCs w:val="24"/>
        </w:rPr>
      </w:pPr>
    </w:p>
    <w:p w:rsidR="00AF05AA" w:rsidP="00AD4AA5">
      <w:pPr>
        <w:jc w:val="center"/>
        <w:rPr>
          <w:rFonts w:asciiTheme="minorEastAsia" w:hAnsiTheme="minorEastAsia"/>
          <w:sz w:val="24"/>
          <w:szCs w:val="24"/>
        </w:rPr>
      </w:pPr>
    </w:p>
    <w:p w:rsidR="00AF05AA" w:rsidP="00AD4AA5">
      <w:pPr>
        <w:jc w:val="center"/>
        <w:rPr>
          <w:rFonts w:asciiTheme="minorEastAsia" w:hAnsiTheme="minorEastAsia"/>
          <w:sz w:val="24"/>
          <w:szCs w:val="24"/>
        </w:rPr>
      </w:pPr>
    </w:p>
    <w:p w:rsidR="00AF05AA" w:rsidP="00AD4AA5">
      <w:pPr>
        <w:jc w:val="center"/>
        <w:rPr>
          <w:rFonts w:asciiTheme="minorEastAsia" w:hAnsiTheme="minorEastAsia"/>
          <w:sz w:val="24"/>
          <w:szCs w:val="24"/>
        </w:rPr>
      </w:pPr>
    </w:p>
    <w:p w:rsidR="00AF05AA" w:rsidP="00AD4AA5">
      <w:pPr>
        <w:jc w:val="center"/>
        <w:rPr>
          <w:rFonts w:asciiTheme="minorEastAsia" w:hAnsiTheme="minorEastAsia"/>
          <w:sz w:val="24"/>
          <w:szCs w:val="24"/>
        </w:rPr>
      </w:pPr>
    </w:p>
    <w:p w:rsidR="00AF05AA" w:rsidP="00AD4AA5">
      <w:pPr>
        <w:jc w:val="center"/>
        <w:rPr>
          <w:rFonts w:asciiTheme="minorEastAsia" w:hAnsiTheme="minorEastAsia"/>
          <w:sz w:val="24"/>
          <w:szCs w:val="24"/>
        </w:rPr>
      </w:pPr>
    </w:p>
    <w:p w:rsidR="00AF05AA" w:rsidP="00AD4AA5">
      <w:pPr>
        <w:jc w:val="center"/>
        <w:rPr>
          <w:rFonts w:asciiTheme="minorEastAsia" w:hAnsiTheme="minorEastAsia"/>
          <w:sz w:val="24"/>
          <w:szCs w:val="24"/>
        </w:rPr>
      </w:pPr>
    </w:p>
    <w:p w:rsidR="00AF05AA" w:rsidP="00AD4AA5">
      <w:pPr>
        <w:jc w:val="center"/>
        <w:rPr>
          <w:rFonts w:asciiTheme="minorEastAsia" w:hAnsiTheme="minorEastAsia"/>
          <w:sz w:val="24"/>
          <w:szCs w:val="24"/>
        </w:rPr>
      </w:pPr>
    </w:p>
    <w:p w:rsidR="00AF05AA" w:rsidP="00AD4AA5">
      <w:pPr>
        <w:jc w:val="center"/>
        <w:rPr>
          <w:rFonts w:asciiTheme="minorEastAsia" w:hAnsiTheme="minorEastAsia"/>
          <w:sz w:val="24"/>
          <w:szCs w:val="24"/>
        </w:rPr>
      </w:pPr>
    </w:p>
    <w:p w:rsidR="00AF05AA" w:rsidP="00AD4AA5">
      <w:pPr>
        <w:jc w:val="center"/>
        <w:rPr>
          <w:rFonts w:asciiTheme="minorEastAsia" w:hAnsiTheme="minorEastAsia"/>
          <w:sz w:val="24"/>
          <w:szCs w:val="24"/>
        </w:rPr>
      </w:pPr>
    </w:p>
    <w:p w:rsidR="00AF05AA" w:rsidP="00AD4AA5">
      <w:pPr>
        <w:jc w:val="center"/>
        <w:rPr>
          <w:rFonts w:asciiTheme="minorEastAsia" w:hAnsiTheme="minorEastAsia"/>
          <w:sz w:val="24"/>
          <w:szCs w:val="24"/>
        </w:rPr>
      </w:pPr>
    </w:p>
    <w:p w:rsidR="00AF05AA" w:rsidP="00AD4AA5">
      <w:pPr>
        <w:jc w:val="center"/>
        <w:rPr>
          <w:rFonts w:asciiTheme="minorEastAsia" w:hAnsiTheme="minorEastAsia"/>
          <w:sz w:val="24"/>
          <w:szCs w:val="24"/>
        </w:rPr>
      </w:pPr>
    </w:p>
    <w:p w:rsidR="00AF05AA" w:rsidP="00AD4AA5">
      <w:pPr>
        <w:jc w:val="center"/>
        <w:rPr>
          <w:rFonts w:asciiTheme="minorEastAsia" w:hAnsiTheme="minorEastAsia"/>
          <w:sz w:val="24"/>
          <w:szCs w:val="24"/>
        </w:rPr>
      </w:pPr>
    </w:p>
    <w:p w:rsidR="007650FE" w:rsidP="00AD4AA5">
      <w:pPr>
        <w:jc w:val="center"/>
        <w:rPr>
          <w:rFonts w:asciiTheme="minorEastAsia" w:hAnsiTheme="minorEastAsia"/>
          <w:sz w:val="24"/>
          <w:szCs w:val="24"/>
        </w:rPr>
      </w:pPr>
    </w:p>
    <w:p w:rsidR="007650FE" w:rsidP="00AD4AA5">
      <w:pPr>
        <w:jc w:val="center"/>
        <w:rPr>
          <w:rFonts w:asciiTheme="minorEastAsia" w:hAnsiTheme="minorEastAsia"/>
          <w:sz w:val="24"/>
          <w:szCs w:val="24"/>
        </w:rPr>
      </w:pPr>
    </w:p>
    <w:p w:rsidR="007650FE" w:rsidP="00AD4AA5">
      <w:pPr>
        <w:jc w:val="center"/>
        <w:rPr>
          <w:rFonts w:asciiTheme="minorEastAsia" w:hAnsiTheme="minorEastAsia"/>
          <w:sz w:val="24"/>
          <w:szCs w:val="24"/>
        </w:rPr>
      </w:pPr>
    </w:p>
    <w:p w:rsidR="007650FE" w:rsidP="00AD4AA5">
      <w:pPr>
        <w:jc w:val="center"/>
        <w:rPr>
          <w:rFonts w:asciiTheme="minorEastAsia" w:hAnsiTheme="minorEastAsia"/>
          <w:sz w:val="24"/>
          <w:szCs w:val="24"/>
        </w:rPr>
      </w:pPr>
    </w:p>
    <w:p w:rsidR="007650FE" w:rsidP="00AD4AA5">
      <w:pPr>
        <w:jc w:val="center"/>
        <w:rPr>
          <w:rFonts w:asciiTheme="minorEastAsia" w:hAnsiTheme="minorEastAsia"/>
          <w:sz w:val="24"/>
          <w:szCs w:val="24"/>
        </w:rPr>
      </w:pPr>
    </w:p>
    <w:p w:rsidR="00AF05AA" w:rsidRPr="00AF05AA" w:rsidP="00AF05AA">
      <w:pPr>
        <w:spacing w:line="600" w:lineRule="exact"/>
        <w:jc w:val="center"/>
        <w:rPr>
          <w:rFonts w:ascii="方正大标宋_GBK" w:eastAsia="方正大标宋_GBK" w:hAnsiTheme="minorEastAsia"/>
          <w:sz w:val="44"/>
          <w:szCs w:val="44"/>
        </w:rPr>
      </w:pPr>
      <w:r w:rsidRPr="00AF05AA">
        <w:rPr>
          <w:rFonts w:ascii="方正大标宋_GBK" w:eastAsia="方正大标宋_GBK" w:hAnsiTheme="minorEastAsia" w:hint="eastAsia"/>
          <w:sz w:val="44"/>
          <w:szCs w:val="44"/>
        </w:rPr>
        <w:t>【行政权力中介服务清单】——2021年寿县卫健委行政权力中介服务清单（设定依据、中介机构资质、资质依据、收费信息）</w:t>
      </w:r>
    </w:p>
    <w:p w:rsidR="00AF05AA" w:rsidP="00AD4AA5">
      <w:pPr>
        <w:jc w:val="center"/>
        <w:rPr>
          <w:rFonts w:asciiTheme="minorEastAsia" w:hAnsiTheme="minorEastAsia"/>
          <w:sz w:val="24"/>
          <w:szCs w:val="24"/>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10"/>
        <w:gridCol w:w="500"/>
        <w:gridCol w:w="5653"/>
        <w:gridCol w:w="868"/>
        <w:gridCol w:w="500"/>
        <w:gridCol w:w="2810"/>
        <w:gridCol w:w="689"/>
        <w:gridCol w:w="682"/>
        <w:gridCol w:w="699"/>
        <w:gridCol w:w="1411"/>
      </w:tblGrid>
      <w:tr w:rsidTr="00875AE1">
        <w:tblPrEx>
          <w:tblW w:w="0" w:type="auto"/>
          <w:shd w:val="clear" w:color="auto" w:fill="FFFFFF"/>
          <w:tblLook w:val="04A0"/>
        </w:tblPrEx>
        <w:tc>
          <w:tcPr>
            <w:tcW w:w="310" w:type="dxa"/>
            <w:vMerge w:val="restart"/>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jc w:val="center"/>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序号</w:t>
            </w:r>
          </w:p>
        </w:tc>
        <w:tc>
          <w:tcPr>
            <w:tcW w:w="500" w:type="dxa"/>
            <w:vMerge w:val="restart"/>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jc w:val="center"/>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事项名称</w:t>
            </w:r>
          </w:p>
        </w:tc>
        <w:tc>
          <w:tcPr>
            <w:tcW w:w="5653" w:type="dxa"/>
            <w:vMerge w:val="restart"/>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jc w:val="center"/>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中  介  服  务  事  项  设  定  依  据</w:t>
            </w:r>
          </w:p>
        </w:tc>
        <w:tc>
          <w:tcPr>
            <w:tcW w:w="868" w:type="dxa"/>
            <w:vMerge w:val="restart"/>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jc w:val="center"/>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对应行政权力名称</w:t>
            </w:r>
          </w:p>
        </w:tc>
        <w:tc>
          <w:tcPr>
            <w:tcW w:w="3310" w:type="dxa"/>
            <w:gridSpan w:val="2"/>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jc w:val="center"/>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中介服务实施机构</w:t>
            </w:r>
          </w:p>
        </w:tc>
        <w:tc>
          <w:tcPr>
            <w:tcW w:w="689" w:type="dxa"/>
            <w:vMerge w:val="restart"/>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jc w:val="center"/>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收费标准及依据</w:t>
            </w:r>
          </w:p>
        </w:tc>
        <w:tc>
          <w:tcPr>
            <w:tcW w:w="682" w:type="dxa"/>
            <w:vMerge w:val="restart"/>
            <w:tcBorders>
              <w:top w:val="single" w:sz="4" w:space="0" w:color="333333"/>
              <w:left w:val="single" w:sz="4" w:space="0" w:color="333333"/>
              <w:right w:val="single" w:sz="4" w:space="0" w:color="333333"/>
            </w:tcBorders>
            <w:shd w:val="clear" w:color="auto" w:fill="FFFFFF"/>
            <w:tcMar>
              <w:top w:w="60" w:type="dxa"/>
              <w:left w:w="60" w:type="dxa"/>
              <w:bottom w:w="60" w:type="dxa"/>
              <w:right w:w="60" w:type="dxa"/>
            </w:tcMar>
          </w:tcPr>
          <w:p w:rsidR="00481B78" w:rsidRPr="00AF05AA" w:rsidP="00AF05AA">
            <w:pPr>
              <w:widowControl/>
              <w:spacing w:line="264" w:lineRule="atLeast"/>
              <w:jc w:val="center"/>
              <w:rPr>
                <w:rFonts w:ascii="宋体" w:eastAsia="宋体" w:hAnsi="宋体" w:cs="宋体"/>
                <w:color w:val="333333"/>
                <w:kern w:val="0"/>
                <w:sz w:val="19"/>
                <w:szCs w:val="19"/>
              </w:rPr>
            </w:pPr>
          </w:p>
        </w:tc>
        <w:tc>
          <w:tcPr>
            <w:tcW w:w="699" w:type="dxa"/>
            <w:vMerge w:val="restart"/>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jc w:val="center"/>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委托 主体</w:t>
            </w:r>
          </w:p>
        </w:tc>
        <w:tc>
          <w:tcPr>
            <w:tcW w:w="1411" w:type="dxa"/>
            <w:vMerge w:val="restart"/>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jc w:val="center"/>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备注</w:t>
            </w:r>
          </w:p>
        </w:tc>
      </w:tr>
      <w:tr w:rsidTr="00875AE1">
        <w:tblPrEx>
          <w:tblW w:w="0" w:type="auto"/>
          <w:shd w:val="clear" w:color="auto" w:fill="FFFFFF"/>
          <w:tblLook w:val="04A0"/>
        </w:tblPrEx>
        <w:tc>
          <w:tcPr>
            <w:tcW w:w="310" w:type="dxa"/>
            <w:vMerge/>
            <w:tcBorders>
              <w:top w:val="single" w:sz="4" w:space="0" w:color="333333"/>
              <w:left w:val="single" w:sz="4" w:space="0" w:color="333333"/>
              <w:bottom w:val="single" w:sz="4" w:space="0" w:color="333333"/>
              <w:right w:val="single" w:sz="4" w:space="0" w:color="333333"/>
            </w:tcBorders>
            <w:shd w:val="clear" w:color="auto" w:fill="FFFFFF"/>
            <w:tcMar>
              <w:top w:w="0" w:type="dxa"/>
              <w:left w:w="0" w:type="dxa"/>
              <w:bottom w:w="0" w:type="dxa"/>
              <w:right w:w="0" w:type="dxa"/>
            </w:tcMar>
            <w:vAlign w:val="center"/>
            <w:hideMark/>
          </w:tcPr>
          <w:p w:rsidR="00481B78" w:rsidRPr="00AF05AA" w:rsidP="00AF05AA">
            <w:pPr>
              <w:widowControl/>
              <w:jc w:val="left"/>
              <w:rPr>
                <w:rFonts w:ascii="宋体" w:eastAsia="宋体" w:hAnsi="宋体" w:cs="宋体"/>
                <w:color w:val="333333"/>
                <w:kern w:val="0"/>
                <w:sz w:val="19"/>
                <w:szCs w:val="19"/>
              </w:rPr>
            </w:pPr>
          </w:p>
        </w:tc>
        <w:tc>
          <w:tcPr>
            <w:tcW w:w="500" w:type="dxa"/>
            <w:vMerge/>
            <w:tcBorders>
              <w:top w:val="single" w:sz="4" w:space="0" w:color="333333"/>
              <w:left w:val="single" w:sz="4" w:space="0" w:color="333333"/>
              <w:bottom w:val="single" w:sz="4" w:space="0" w:color="333333"/>
              <w:right w:val="single" w:sz="4" w:space="0" w:color="333333"/>
            </w:tcBorders>
            <w:shd w:val="clear" w:color="auto" w:fill="FFFFFF"/>
            <w:tcMar>
              <w:top w:w="0" w:type="dxa"/>
              <w:left w:w="0" w:type="dxa"/>
              <w:bottom w:w="0" w:type="dxa"/>
              <w:right w:w="0" w:type="dxa"/>
            </w:tcMar>
            <w:vAlign w:val="center"/>
            <w:hideMark/>
          </w:tcPr>
          <w:p w:rsidR="00481B78" w:rsidRPr="00AF05AA" w:rsidP="00AF05AA">
            <w:pPr>
              <w:widowControl/>
              <w:jc w:val="left"/>
              <w:rPr>
                <w:rFonts w:ascii="宋体" w:eastAsia="宋体" w:hAnsi="宋体" w:cs="宋体"/>
                <w:color w:val="333333"/>
                <w:kern w:val="0"/>
                <w:sz w:val="19"/>
                <w:szCs w:val="19"/>
              </w:rPr>
            </w:pPr>
          </w:p>
        </w:tc>
        <w:tc>
          <w:tcPr>
            <w:tcW w:w="5653" w:type="dxa"/>
            <w:vMerge/>
            <w:tcBorders>
              <w:top w:val="single" w:sz="4" w:space="0" w:color="333333"/>
              <w:left w:val="single" w:sz="4" w:space="0" w:color="333333"/>
              <w:bottom w:val="single" w:sz="4" w:space="0" w:color="333333"/>
              <w:right w:val="single" w:sz="4" w:space="0" w:color="333333"/>
            </w:tcBorders>
            <w:shd w:val="clear" w:color="auto" w:fill="FFFFFF"/>
            <w:tcMar>
              <w:top w:w="0" w:type="dxa"/>
              <w:left w:w="0" w:type="dxa"/>
              <w:bottom w:w="0" w:type="dxa"/>
              <w:right w:w="0" w:type="dxa"/>
            </w:tcMar>
            <w:vAlign w:val="center"/>
            <w:hideMark/>
          </w:tcPr>
          <w:p w:rsidR="00481B78" w:rsidRPr="00AF05AA" w:rsidP="00AF05AA">
            <w:pPr>
              <w:widowControl/>
              <w:jc w:val="left"/>
              <w:rPr>
                <w:rFonts w:ascii="宋体" w:eastAsia="宋体" w:hAnsi="宋体" w:cs="宋体"/>
                <w:color w:val="333333"/>
                <w:kern w:val="0"/>
                <w:sz w:val="19"/>
                <w:szCs w:val="19"/>
              </w:rPr>
            </w:pPr>
          </w:p>
        </w:tc>
        <w:tc>
          <w:tcPr>
            <w:tcW w:w="868" w:type="dxa"/>
            <w:vMerge/>
            <w:tcBorders>
              <w:top w:val="single" w:sz="4" w:space="0" w:color="333333"/>
              <w:left w:val="single" w:sz="4" w:space="0" w:color="333333"/>
              <w:bottom w:val="single" w:sz="4" w:space="0" w:color="333333"/>
              <w:right w:val="single" w:sz="4" w:space="0" w:color="333333"/>
            </w:tcBorders>
            <w:shd w:val="clear" w:color="auto" w:fill="FFFFFF"/>
            <w:tcMar>
              <w:top w:w="0" w:type="dxa"/>
              <w:left w:w="0" w:type="dxa"/>
              <w:bottom w:w="0" w:type="dxa"/>
              <w:right w:w="0" w:type="dxa"/>
            </w:tcMar>
            <w:vAlign w:val="center"/>
            <w:hideMark/>
          </w:tcPr>
          <w:p w:rsidR="00481B78" w:rsidRPr="00AF05AA" w:rsidP="00AF05AA">
            <w:pPr>
              <w:widowControl/>
              <w:jc w:val="left"/>
              <w:rPr>
                <w:rFonts w:ascii="宋体" w:eastAsia="宋体" w:hAnsi="宋体" w:cs="宋体"/>
                <w:color w:val="333333"/>
                <w:kern w:val="0"/>
                <w:sz w:val="19"/>
                <w:szCs w:val="19"/>
              </w:rPr>
            </w:pPr>
          </w:p>
        </w:tc>
        <w:tc>
          <w:tcPr>
            <w:tcW w:w="50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jc w:val="center"/>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资质条件</w:t>
            </w:r>
          </w:p>
        </w:tc>
        <w:tc>
          <w:tcPr>
            <w:tcW w:w="2810" w:type="dxa"/>
            <w:tcBorders>
              <w:top w:val="single" w:sz="4" w:space="0" w:color="333333"/>
              <w:left w:val="single" w:sz="4" w:space="0" w:color="333333"/>
              <w:bottom w:val="single" w:sz="4" w:space="0" w:color="333333"/>
              <w:right w:val="single" w:sz="4" w:space="0" w:color="333333"/>
            </w:tcBorders>
            <w:shd w:val="clear" w:color="auto" w:fill="FFFFFF"/>
            <w:tcMar>
              <w:top w:w="0" w:type="dxa"/>
              <w:left w:w="0" w:type="dxa"/>
              <w:bottom w:w="0" w:type="dxa"/>
              <w:right w:w="0" w:type="dxa"/>
            </w:tcMar>
            <w:vAlign w:val="center"/>
            <w:hideMark/>
          </w:tcPr>
          <w:p w:rsidR="00481B78" w:rsidRPr="00AF05AA" w:rsidP="00AF05AA">
            <w:pPr>
              <w:widowControl/>
              <w:spacing w:line="264" w:lineRule="atLeast"/>
              <w:jc w:val="center"/>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资质依据</w:t>
            </w:r>
          </w:p>
        </w:tc>
        <w:tc>
          <w:tcPr>
            <w:tcW w:w="689" w:type="dxa"/>
            <w:vMerge/>
            <w:tcBorders>
              <w:top w:val="single" w:sz="4" w:space="0" w:color="333333"/>
              <w:left w:val="single" w:sz="4" w:space="0" w:color="333333"/>
              <w:bottom w:val="single" w:sz="4" w:space="0" w:color="333333"/>
              <w:right w:val="single" w:sz="4" w:space="0" w:color="333333"/>
            </w:tcBorders>
            <w:shd w:val="clear" w:color="auto" w:fill="FFFFFF"/>
            <w:tcMar>
              <w:top w:w="0" w:type="dxa"/>
              <w:left w:w="0" w:type="dxa"/>
              <w:bottom w:w="0" w:type="dxa"/>
              <w:right w:w="0" w:type="dxa"/>
            </w:tcMar>
            <w:vAlign w:val="center"/>
            <w:hideMark/>
          </w:tcPr>
          <w:p w:rsidR="00481B78" w:rsidRPr="00AF05AA" w:rsidP="00AF05AA">
            <w:pPr>
              <w:widowControl/>
              <w:jc w:val="left"/>
              <w:rPr>
                <w:rFonts w:ascii="宋体" w:eastAsia="宋体" w:hAnsi="宋体" w:cs="宋体"/>
                <w:color w:val="333333"/>
                <w:kern w:val="0"/>
                <w:sz w:val="19"/>
                <w:szCs w:val="19"/>
              </w:rPr>
            </w:pPr>
          </w:p>
        </w:tc>
        <w:tc>
          <w:tcPr>
            <w:tcW w:w="682" w:type="dxa"/>
            <w:vMerge/>
            <w:tcBorders>
              <w:left w:val="single" w:sz="4" w:space="0" w:color="333333"/>
              <w:bottom w:val="single" w:sz="4" w:space="0" w:color="333333"/>
              <w:right w:val="single" w:sz="4" w:space="0" w:color="333333"/>
            </w:tcBorders>
            <w:shd w:val="clear" w:color="auto" w:fill="FFFFFF"/>
            <w:tcMar>
              <w:top w:w="0" w:type="dxa"/>
              <w:left w:w="0" w:type="dxa"/>
              <w:bottom w:w="0" w:type="dxa"/>
              <w:right w:w="0" w:type="dxa"/>
            </w:tcMar>
          </w:tcPr>
          <w:p w:rsidR="00481B78" w:rsidRPr="00AF05AA" w:rsidP="00AF05AA">
            <w:pPr>
              <w:widowControl/>
              <w:jc w:val="left"/>
              <w:rPr>
                <w:rFonts w:ascii="宋体" w:eastAsia="宋体" w:hAnsi="宋体" w:cs="宋体"/>
                <w:color w:val="333333"/>
                <w:kern w:val="0"/>
                <w:sz w:val="19"/>
                <w:szCs w:val="19"/>
              </w:rPr>
            </w:pPr>
          </w:p>
        </w:tc>
        <w:tc>
          <w:tcPr>
            <w:tcW w:w="699" w:type="dxa"/>
            <w:vMerge/>
            <w:tcBorders>
              <w:top w:val="single" w:sz="4" w:space="0" w:color="333333"/>
              <w:left w:val="single" w:sz="4" w:space="0" w:color="333333"/>
              <w:bottom w:val="single" w:sz="4" w:space="0" w:color="333333"/>
              <w:right w:val="single" w:sz="4" w:space="0" w:color="333333"/>
            </w:tcBorders>
            <w:shd w:val="clear" w:color="auto" w:fill="FFFFFF"/>
            <w:tcMar>
              <w:top w:w="0" w:type="dxa"/>
              <w:left w:w="0" w:type="dxa"/>
              <w:bottom w:w="0" w:type="dxa"/>
              <w:right w:w="0" w:type="dxa"/>
            </w:tcMar>
            <w:vAlign w:val="center"/>
            <w:hideMark/>
          </w:tcPr>
          <w:p w:rsidR="00481B78" w:rsidRPr="00AF05AA" w:rsidP="00AF05AA">
            <w:pPr>
              <w:widowControl/>
              <w:jc w:val="left"/>
              <w:rPr>
                <w:rFonts w:ascii="宋体" w:eastAsia="宋体" w:hAnsi="宋体" w:cs="宋体"/>
                <w:color w:val="333333"/>
                <w:kern w:val="0"/>
                <w:sz w:val="19"/>
                <w:szCs w:val="19"/>
              </w:rPr>
            </w:pPr>
          </w:p>
        </w:tc>
        <w:tc>
          <w:tcPr>
            <w:tcW w:w="1411" w:type="dxa"/>
            <w:vMerge/>
            <w:tcBorders>
              <w:top w:val="single" w:sz="4" w:space="0" w:color="333333"/>
              <w:left w:val="single" w:sz="4" w:space="0" w:color="333333"/>
              <w:bottom w:val="single" w:sz="4" w:space="0" w:color="333333"/>
              <w:right w:val="single" w:sz="4" w:space="0" w:color="333333"/>
            </w:tcBorders>
            <w:shd w:val="clear" w:color="auto" w:fill="FFFFFF"/>
            <w:tcMar>
              <w:top w:w="0" w:type="dxa"/>
              <w:left w:w="0" w:type="dxa"/>
              <w:bottom w:w="0" w:type="dxa"/>
              <w:right w:w="0" w:type="dxa"/>
            </w:tcMar>
            <w:vAlign w:val="center"/>
            <w:hideMark/>
          </w:tcPr>
          <w:p w:rsidR="00481B78" w:rsidRPr="00AF05AA" w:rsidP="00AF05AA">
            <w:pPr>
              <w:widowControl/>
              <w:jc w:val="left"/>
              <w:rPr>
                <w:rFonts w:ascii="宋体" w:eastAsia="宋体" w:hAnsi="宋体" w:cs="宋体"/>
                <w:color w:val="333333"/>
                <w:kern w:val="0"/>
                <w:sz w:val="19"/>
                <w:szCs w:val="19"/>
              </w:rPr>
            </w:pPr>
          </w:p>
        </w:tc>
      </w:tr>
      <w:tr w:rsidTr="00481B78">
        <w:tblPrEx>
          <w:tblW w:w="0" w:type="auto"/>
          <w:shd w:val="clear" w:color="auto" w:fill="FFFFFF"/>
          <w:tblLook w:val="04A0"/>
        </w:tblPrEx>
        <w:tc>
          <w:tcPr>
            <w:tcW w:w="31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1</w:t>
            </w:r>
          </w:p>
        </w:tc>
        <w:tc>
          <w:tcPr>
            <w:tcW w:w="50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公共场所卫生检验、检测</w:t>
            </w:r>
          </w:p>
        </w:tc>
        <w:tc>
          <w:tcPr>
            <w:tcW w:w="5653"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《公共场所卫生管理条例实施细则》（卫生部令第80号发布，</w:t>
            </w:r>
            <w:r w:rsidRPr="00AF05AA">
              <w:rPr>
                <w:rFonts w:ascii="宋体" w:eastAsia="宋体" w:hAnsi="宋体" w:cs="宋体" w:hint="eastAsia"/>
                <w:color w:val="333333"/>
                <w:kern w:val="0"/>
                <w:sz w:val="19"/>
                <w:szCs w:val="19"/>
              </w:rPr>
              <w:t>中华人民共和国国家卫生和计划生育委员会</w:t>
            </w:r>
            <w:r w:rsidRPr="00AF05AA">
              <w:rPr>
                <w:rFonts w:ascii="宋体" w:eastAsia="宋体" w:hAnsi="宋体" w:cs="宋体" w:hint="eastAsia"/>
                <w:color w:val="333333"/>
                <w:kern w:val="0"/>
                <w:sz w:val="19"/>
                <w:szCs w:val="19"/>
              </w:rPr>
              <w:t>令第8号修订）第十九条 公共场所经营者应当按照卫生标准、规范的要求对公共场所的空气、微小气候、水质、采光、照明、噪声、顾客用品用具等进行卫生检测，检测每年不得少于一次；检测结果不符合卫生标准、规范要求的应当及时整改。公共场所经营者不具备检测能力的，可以委托检测。第二十八条 县级以上</w:t>
            </w:r>
            <w:r w:rsidRPr="00AF05AA">
              <w:rPr>
                <w:rFonts w:ascii="宋体" w:eastAsia="宋体" w:hAnsi="宋体" w:cs="宋体" w:hint="eastAsia"/>
                <w:color w:val="333333"/>
                <w:kern w:val="0"/>
                <w:sz w:val="19"/>
                <w:szCs w:val="19"/>
              </w:rPr>
              <w:t>人民</w:t>
            </w:r>
            <w:r w:rsidRPr="00AF05AA">
              <w:rPr>
                <w:rFonts w:ascii="宋体" w:eastAsia="宋体" w:hAnsi="宋体" w:cs="宋体" w:hint="eastAsia"/>
                <w:color w:val="333333"/>
                <w:kern w:val="0"/>
                <w:sz w:val="19"/>
                <w:szCs w:val="19"/>
              </w:rPr>
              <w:t>政府</w:t>
            </w:r>
            <w:r w:rsidRPr="00AF05AA">
              <w:rPr>
                <w:rFonts w:ascii="宋体" w:eastAsia="宋体" w:hAnsi="宋体" w:cs="宋体" w:hint="eastAsia"/>
                <w:color w:val="333333"/>
                <w:kern w:val="0"/>
                <w:sz w:val="19"/>
                <w:szCs w:val="19"/>
              </w:rPr>
              <w:t>卫生行政部门应当组织对公共场所的健康危害因素进行监测、分析，为制定法律法规、卫生标准和实施监督管理提供科学依据。 第三十四条 开展公共场所卫生检验、检测、评价等业务的技术服务机构，应当具有相应专业技术能力，按照有关卫生标准、规范的要求开展工作，不得出具虚假检验、检测、评价等报告。技术服务机构的专业技术能力由省、自治区、直辖市</w:t>
            </w:r>
            <w:r w:rsidRPr="00AF05AA">
              <w:rPr>
                <w:rFonts w:ascii="宋体" w:eastAsia="宋体" w:hAnsi="宋体" w:cs="宋体" w:hint="eastAsia"/>
                <w:color w:val="333333"/>
                <w:kern w:val="0"/>
                <w:sz w:val="19"/>
                <w:szCs w:val="19"/>
              </w:rPr>
              <w:t>人民</w:t>
            </w:r>
            <w:r w:rsidRPr="00AF05AA">
              <w:rPr>
                <w:rFonts w:ascii="宋体" w:eastAsia="宋体" w:hAnsi="宋体" w:cs="宋体" w:hint="eastAsia"/>
                <w:color w:val="333333"/>
                <w:kern w:val="0"/>
                <w:sz w:val="19"/>
                <w:szCs w:val="19"/>
              </w:rPr>
              <w:t>政府</w:t>
            </w:r>
            <w:r w:rsidRPr="00AF05AA">
              <w:rPr>
                <w:rFonts w:ascii="宋体" w:eastAsia="宋体" w:hAnsi="宋体" w:cs="宋体" w:hint="eastAsia"/>
                <w:color w:val="333333"/>
                <w:kern w:val="0"/>
                <w:sz w:val="19"/>
                <w:szCs w:val="19"/>
              </w:rPr>
              <w:t>卫生行政部门组织考核。</w:t>
            </w:r>
          </w:p>
        </w:tc>
        <w:tc>
          <w:tcPr>
            <w:tcW w:w="868"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公共场所卫生许可</w:t>
            </w:r>
          </w:p>
        </w:tc>
        <w:tc>
          <w:tcPr>
            <w:tcW w:w="50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具有卫生检验、检测、评价等专业技术能力</w:t>
            </w:r>
          </w:p>
        </w:tc>
        <w:tc>
          <w:tcPr>
            <w:tcW w:w="281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《公共场所卫生管理条例实施细则》（卫生部令第80号发布，</w:t>
            </w:r>
            <w:r w:rsidRPr="00AF05AA">
              <w:rPr>
                <w:rFonts w:ascii="宋体" w:eastAsia="宋体" w:hAnsi="宋体" w:cs="宋体" w:hint="eastAsia"/>
                <w:color w:val="333333"/>
                <w:kern w:val="0"/>
                <w:sz w:val="19"/>
                <w:szCs w:val="19"/>
              </w:rPr>
              <w:t>中华人民共和国国家卫生和计划生育委员会</w:t>
            </w:r>
            <w:r w:rsidRPr="00AF05AA">
              <w:rPr>
                <w:rFonts w:ascii="宋体" w:eastAsia="宋体" w:hAnsi="宋体" w:cs="宋体" w:hint="eastAsia"/>
                <w:color w:val="333333"/>
                <w:kern w:val="0"/>
                <w:sz w:val="19"/>
                <w:szCs w:val="19"/>
              </w:rPr>
              <w:t>令第8号修订）第三十四条 开展公共场所卫生检验、检测、评价等业务的技术服务机构，应当具有相应专业技术能力，按照有关卫生标准、规范的要求开展工作，不得出具虚假检验、检测、评价等报告。</w:t>
            </w:r>
          </w:p>
        </w:tc>
        <w:tc>
          <w:tcPr>
            <w:tcW w:w="689"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市场调节价</w:t>
            </w:r>
          </w:p>
        </w:tc>
        <w:tc>
          <w:tcPr>
            <w:tcW w:w="682"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tcPr>
          <w:p w:rsidR="00481B78" w:rsidRPr="00AF05AA" w:rsidP="00AF05AA">
            <w:pPr>
              <w:widowControl/>
              <w:spacing w:line="264" w:lineRule="atLeast"/>
              <w:rPr>
                <w:rFonts w:ascii="宋体" w:eastAsia="宋体" w:hAnsi="宋体" w:cs="宋体"/>
                <w:color w:val="333333"/>
                <w:kern w:val="0"/>
                <w:sz w:val="19"/>
                <w:szCs w:val="19"/>
              </w:rPr>
            </w:pPr>
          </w:p>
        </w:tc>
        <w:tc>
          <w:tcPr>
            <w:tcW w:w="699"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行政机关、行政相对人</w:t>
            </w:r>
          </w:p>
        </w:tc>
        <w:tc>
          <w:tcPr>
            <w:tcW w:w="1411"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　</w:t>
            </w:r>
          </w:p>
        </w:tc>
      </w:tr>
      <w:tr w:rsidTr="00481B78">
        <w:tblPrEx>
          <w:tblW w:w="0" w:type="auto"/>
          <w:shd w:val="clear" w:color="auto" w:fill="FFFFFF"/>
          <w:tblLook w:val="04A0"/>
        </w:tblPrEx>
        <w:tc>
          <w:tcPr>
            <w:tcW w:w="31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2</w:t>
            </w:r>
          </w:p>
        </w:tc>
        <w:tc>
          <w:tcPr>
            <w:tcW w:w="50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公共场所卫生检验、</w:t>
            </w:r>
            <w:r w:rsidRPr="00AF05AA">
              <w:rPr>
                <w:rFonts w:ascii="宋体" w:eastAsia="宋体" w:hAnsi="宋体" w:cs="宋体" w:hint="eastAsia"/>
                <w:color w:val="333333"/>
                <w:kern w:val="0"/>
                <w:sz w:val="19"/>
                <w:szCs w:val="19"/>
              </w:rPr>
              <w:t>检测和评估报告编制</w:t>
            </w:r>
          </w:p>
        </w:tc>
        <w:tc>
          <w:tcPr>
            <w:tcW w:w="5653"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《公共场所卫生管理条例实施细则》（卫生部令第80号发布，</w:t>
            </w:r>
            <w:r w:rsidRPr="00AF05AA">
              <w:rPr>
                <w:rFonts w:ascii="宋体" w:eastAsia="宋体" w:hAnsi="宋体" w:cs="宋体" w:hint="eastAsia"/>
                <w:color w:val="333333"/>
                <w:kern w:val="0"/>
                <w:sz w:val="19"/>
                <w:szCs w:val="19"/>
              </w:rPr>
              <w:t>中华人民共和国国家卫生和计划生育委员会</w:t>
            </w:r>
            <w:r w:rsidRPr="00AF05AA">
              <w:rPr>
                <w:rFonts w:ascii="宋体" w:eastAsia="宋体" w:hAnsi="宋体" w:cs="宋体" w:hint="eastAsia"/>
                <w:color w:val="333333"/>
                <w:kern w:val="0"/>
                <w:sz w:val="19"/>
                <w:szCs w:val="19"/>
              </w:rPr>
              <w:t>令第8号修订）第十九条 公共场所经营者应当按照卫生标准、规范的要求对公共场所的空气、微小气候、水质、采光、照明、噪声、顾客用品用具等进行卫生检测，检测每年不得少于一次；检测结果不符合卫生标准、规范要求的应</w:t>
            </w:r>
            <w:r w:rsidRPr="00AF05AA">
              <w:rPr>
                <w:rFonts w:ascii="宋体" w:eastAsia="宋体" w:hAnsi="宋体" w:cs="宋体" w:hint="eastAsia"/>
                <w:color w:val="333333"/>
                <w:kern w:val="0"/>
                <w:sz w:val="19"/>
                <w:szCs w:val="19"/>
              </w:rPr>
              <w:t>当及时整改。公共场所经营者不具备检测能力的，可以委托检测。第二十八条 县级以上</w:t>
            </w:r>
            <w:r w:rsidRPr="00AF05AA">
              <w:rPr>
                <w:rFonts w:ascii="宋体" w:eastAsia="宋体" w:hAnsi="宋体" w:cs="宋体" w:hint="eastAsia"/>
                <w:color w:val="333333"/>
                <w:kern w:val="0"/>
                <w:sz w:val="19"/>
                <w:szCs w:val="19"/>
              </w:rPr>
              <w:t>人民</w:t>
            </w:r>
            <w:r w:rsidRPr="00AF05AA">
              <w:rPr>
                <w:rFonts w:ascii="宋体" w:eastAsia="宋体" w:hAnsi="宋体" w:cs="宋体" w:hint="eastAsia"/>
                <w:color w:val="333333"/>
                <w:kern w:val="0"/>
                <w:sz w:val="19"/>
                <w:szCs w:val="19"/>
              </w:rPr>
              <w:t>政府</w:t>
            </w:r>
            <w:r w:rsidRPr="00AF05AA">
              <w:rPr>
                <w:rFonts w:ascii="宋体" w:eastAsia="宋体" w:hAnsi="宋体" w:cs="宋体" w:hint="eastAsia"/>
                <w:color w:val="333333"/>
                <w:kern w:val="0"/>
                <w:sz w:val="19"/>
                <w:szCs w:val="19"/>
              </w:rPr>
              <w:t>卫生行政部门应当组织对公共场所的健康危害因素进行监测、分析，为制定法律法规、卫生标准和实施监督管理提供科学依据。 第三十四条 开展公共场所卫生检验、检测、评价等业务的技术服务机构，应当具有相应专业技术能力，按照有关卫生标准、规范的要求开展工作，不得出具虚假检验、检测、评价等报告。技术服务机构的专业技术能力由省、自治区、直辖市</w:t>
            </w:r>
            <w:r w:rsidRPr="00AF05AA">
              <w:rPr>
                <w:rFonts w:ascii="宋体" w:eastAsia="宋体" w:hAnsi="宋体" w:cs="宋体" w:hint="eastAsia"/>
                <w:color w:val="333333"/>
                <w:kern w:val="0"/>
                <w:sz w:val="19"/>
                <w:szCs w:val="19"/>
              </w:rPr>
              <w:t>人民</w:t>
            </w:r>
            <w:r w:rsidRPr="00AF05AA">
              <w:rPr>
                <w:rFonts w:ascii="宋体" w:eastAsia="宋体" w:hAnsi="宋体" w:cs="宋体" w:hint="eastAsia"/>
                <w:color w:val="333333"/>
                <w:kern w:val="0"/>
                <w:sz w:val="19"/>
                <w:szCs w:val="19"/>
              </w:rPr>
              <w:t>政府</w:t>
            </w:r>
            <w:r w:rsidRPr="00AF05AA">
              <w:rPr>
                <w:rFonts w:ascii="宋体" w:eastAsia="宋体" w:hAnsi="宋体" w:cs="宋体" w:hint="eastAsia"/>
                <w:color w:val="333333"/>
                <w:kern w:val="0"/>
                <w:sz w:val="19"/>
                <w:szCs w:val="19"/>
              </w:rPr>
              <w:t>卫生行政部门组织考核。</w:t>
            </w:r>
          </w:p>
        </w:tc>
        <w:tc>
          <w:tcPr>
            <w:tcW w:w="868"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饮用水供水单位卫生许可</w:t>
            </w:r>
          </w:p>
        </w:tc>
        <w:tc>
          <w:tcPr>
            <w:tcW w:w="50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具有卫生检验、检</w:t>
            </w:r>
            <w:r w:rsidRPr="00AF05AA">
              <w:rPr>
                <w:rFonts w:ascii="宋体" w:eastAsia="宋体" w:hAnsi="宋体" w:cs="宋体" w:hint="eastAsia"/>
                <w:color w:val="333333"/>
                <w:kern w:val="0"/>
                <w:sz w:val="19"/>
                <w:szCs w:val="19"/>
              </w:rPr>
              <w:t>测、评价等专业技术能力</w:t>
            </w:r>
          </w:p>
        </w:tc>
        <w:tc>
          <w:tcPr>
            <w:tcW w:w="281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《公共场所卫生管理条例实施细则》（卫生部令第80号发布，</w:t>
            </w:r>
            <w:r w:rsidRPr="00AF05AA">
              <w:rPr>
                <w:rFonts w:ascii="宋体" w:eastAsia="宋体" w:hAnsi="宋体" w:cs="宋体" w:hint="eastAsia"/>
                <w:color w:val="333333"/>
                <w:kern w:val="0"/>
                <w:sz w:val="19"/>
                <w:szCs w:val="19"/>
              </w:rPr>
              <w:t>中华人民共和国国家卫生和计划生育委员会</w:t>
            </w:r>
            <w:r w:rsidRPr="00AF05AA">
              <w:rPr>
                <w:rFonts w:ascii="宋体" w:eastAsia="宋体" w:hAnsi="宋体" w:cs="宋体" w:hint="eastAsia"/>
                <w:color w:val="333333"/>
                <w:kern w:val="0"/>
                <w:sz w:val="19"/>
                <w:szCs w:val="19"/>
              </w:rPr>
              <w:t>令第8号修订）第三十四条 开展公共场所卫生检验、检测、</w:t>
            </w:r>
            <w:r w:rsidRPr="00AF05AA">
              <w:rPr>
                <w:rFonts w:ascii="宋体" w:eastAsia="宋体" w:hAnsi="宋体" w:cs="宋体" w:hint="eastAsia"/>
                <w:color w:val="333333"/>
                <w:kern w:val="0"/>
                <w:sz w:val="19"/>
                <w:szCs w:val="19"/>
              </w:rPr>
              <w:t>评价等业务的技术服务机构，应当具有相应专业技术能力，按照有关卫生标准、规范的要求开展工作，不得出具虚假检验、检测、评价等报告。</w:t>
            </w:r>
          </w:p>
        </w:tc>
        <w:tc>
          <w:tcPr>
            <w:tcW w:w="689"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市场调节价</w:t>
            </w:r>
          </w:p>
        </w:tc>
        <w:tc>
          <w:tcPr>
            <w:tcW w:w="682"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tcPr>
          <w:p w:rsidR="00481B78" w:rsidRPr="00AF05AA" w:rsidP="00AF05AA">
            <w:pPr>
              <w:widowControl/>
              <w:spacing w:line="264" w:lineRule="atLeast"/>
              <w:rPr>
                <w:rFonts w:ascii="宋体" w:eastAsia="宋体" w:hAnsi="宋体" w:cs="宋体"/>
                <w:color w:val="333333"/>
                <w:kern w:val="0"/>
                <w:sz w:val="19"/>
                <w:szCs w:val="19"/>
              </w:rPr>
            </w:pPr>
          </w:p>
        </w:tc>
        <w:tc>
          <w:tcPr>
            <w:tcW w:w="699"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行政相对人</w:t>
            </w:r>
          </w:p>
        </w:tc>
        <w:tc>
          <w:tcPr>
            <w:tcW w:w="1411"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b/>
                <w:bCs/>
                <w:color w:val="333333"/>
                <w:kern w:val="0"/>
                <w:sz w:val="19"/>
              </w:rPr>
              <w:t>涉及饮用水卫生安全产品检验 </w:t>
            </w:r>
            <w:r w:rsidRPr="00AF05AA">
              <w:rPr>
                <w:rFonts w:ascii="宋体" w:eastAsia="宋体" w:hAnsi="宋体" w:cs="宋体" w:hint="eastAsia"/>
                <w:color w:val="333333"/>
                <w:kern w:val="0"/>
                <w:sz w:val="19"/>
                <w:szCs w:val="19"/>
              </w:rPr>
              <w:t>对申请涉及饮用水卫生安全的产品卫</w:t>
            </w:r>
            <w:r w:rsidRPr="00AF05AA">
              <w:rPr>
                <w:rFonts w:ascii="宋体" w:eastAsia="宋体" w:hAnsi="宋体" w:cs="宋体" w:hint="eastAsia"/>
                <w:color w:val="333333"/>
                <w:kern w:val="0"/>
                <w:sz w:val="19"/>
                <w:szCs w:val="19"/>
              </w:rPr>
              <w:t>生许可的，申请人按照国家卫生标准和卫生规范要求，可对产品自行检验，也可委托有关机构开展，审批部门不得以任何形式要求申请人必须委托特定中介机构提供服务。</w:t>
            </w:r>
          </w:p>
        </w:tc>
      </w:tr>
      <w:tr w:rsidTr="00481B78">
        <w:tblPrEx>
          <w:tblW w:w="0" w:type="auto"/>
          <w:shd w:val="clear" w:color="auto" w:fill="FFFFFF"/>
          <w:tblLook w:val="04A0"/>
        </w:tblPrEx>
        <w:tc>
          <w:tcPr>
            <w:tcW w:w="31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3</w:t>
            </w:r>
          </w:p>
        </w:tc>
        <w:tc>
          <w:tcPr>
            <w:tcW w:w="50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出具职业病危害放射防护预评价和控制效果评价报告</w:t>
            </w:r>
          </w:p>
        </w:tc>
        <w:tc>
          <w:tcPr>
            <w:tcW w:w="5653"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《放射诊疗管理规定》（中华人民共和国卫生部令第46号）第十二条　新建、扩建、改建放射诊疗建设项目，医疗机构应当在建设项目施工前向相应的卫生行政部门提交职业病危害放射防护预评价报告，申请进行建设项目卫生审查。卫生行政部门应当自收到预评价报告之日起三十日内，作出审核决定。经审核符合国家相关卫生标准和要求的，方可施工。  十三条　医疗机构在放射诊疗建设项目竣工验收前，应当进行职业病危害控制效果评价；并向相应的卫生行政部门提交下列资料，申请进行卫生验收：（一）建设项目竣工卫生验收申请；（二）建设项目卫生审查资料；（三）职业病危害控制效果放射防护评价报告；（四）放射诊疗建设项目验收报告。</w:t>
            </w:r>
          </w:p>
        </w:tc>
        <w:tc>
          <w:tcPr>
            <w:tcW w:w="868"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放射工作资格许可</w:t>
            </w:r>
          </w:p>
        </w:tc>
        <w:tc>
          <w:tcPr>
            <w:tcW w:w="50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取得卫生部或者省级卫生行政部门颁发的《放射卫生技术服务资质证</w:t>
            </w:r>
            <w:r w:rsidRPr="00AF05AA">
              <w:rPr>
                <w:rFonts w:ascii="宋体" w:eastAsia="宋体" w:hAnsi="宋体" w:cs="宋体" w:hint="eastAsia"/>
                <w:color w:val="333333"/>
                <w:kern w:val="0"/>
                <w:sz w:val="19"/>
                <w:szCs w:val="19"/>
              </w:rPr>
              <w:t>书》</w:t>
            </w:r>
          </w:p>
        </w:tc>
        <w:tc>
          <w:tcPr>
            <w:tcW w:w="281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《放射卫生技术服务机构管理办法》第二条 本办法所称的放射卫生技术服务机构是指为医疗机构提供放射诊疗建设项目职业病危害放射防护评价、放射卫生防护检测，提供放射防护器材和含放射性产品检测、个人剂量监测等技术服务的机构。第三条 从事放射卫生技术服务的机构，必须取得卫生部或者省级卫生行政部门颁发的《放射卫生技术服务机构资质证书》。《放射诊疗建设项目卫生审查管理规定》第五条 放射卫生技术服务机构的设置应当遵循合理配置原则。</w:t>
            </w:r>
          </w:p>
        </w:tc>
        <w:tc>
          <w:tcPr>
            <w:tcW w:w="689"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市场调节价</w:t>
            </w:r>
          </w:p>
        </w:tc>
        <w:tc>
          <w:tcPr>
            <w:tcW w:w="682"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tcPr>
          <w:p w:rsidR="00481B78" w:rsidRPr="00AF05AA" w:rsidP="00AF05AA">
            <w:pPr>
              <w:widowControl/>
              <w:spacing w:line="264" w:lineRule="atLeast"/>
              <w:rPr>
                <w:rFonts w:ascii="宋体" w:eastAsia="宋体" w:hAnsi="宋体" w:cs="宋体"/>
                <w:color w:val="333333"/>
                <w:kern w:val="0"/>
                <w:sz w:val="19"/>
                <w:szCs w:val="19"/>
              </w:rPr>
            </w:pPr>
          </w:p>
        </w:tc>
        <w:tc>
          <w:tcPr>
            <w:tcW w:w="699"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行政相对人</w:t>
            </w:r>
          </w:p>
        </w:tc>
        <w:tc>
          <w:tcPr>
            <w:tcW w:w="1411"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　</w:t>
            </w:r>
          </w:p>
        </w:tc>
      </w:tr>
      <w:tr w:rsidTr="00481B78">
        <w:tblPrEx>
          <w:tblW w:w="0" w:type="auto"/>
          <w:shd w:val="clear" w:color="auto" w:fill="FFFFFF"/>
          <w:tblLook w:val="04A0"/>
        </w:tblPrEx>
        <w:tc>
          <w:tcPr>
            <w:tcW w:w="31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4</w:t>
            </w:r>
          </w:p>
        </w:tc>
        <w:tc>
          <w:tcPr>
            <w:tcW w:w="50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提供放射诊疗设备性能检测报告</w:t>
            </w:r>
          </w:p>
        </w:tc>
        <w:tc>
          <w:tcPr>
            <w:tcW w:w="5653"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《放射诊疗管理规定》（中华人民共和国卫生部令第46号）第十七条　《放射诊疗许可证》与《医疗机构执业许可证》同时校验，申请校验时应当提交本周期有关放射诊疗设备性能与辐射工作场所的检测报告、放射诊疗工作人员健康监护资料和工作开展情况报告。医疗机构变更放射诊疗项目的，应当向放射诊疗许可批准机关提出许可变更申请，并提交变更许可项目名称、放射防护评价报告等资料；同时向卫生行政执业登记部门提出诊疗科目变更申请，提交变更登记项目及变更理由等资料。 　　卫生行政部门应当自收到变更申请之日起二十日内做出审查决定。未经批准不得变更。     第二十条　医疗机构的放射诊疗设备和检测仪表，应当符合下列要求：（一）新安装、维修或更换重要部件后的设备，应当经省级以上卫生行政部门资质认证的检测机构对其进行检测，合格后方可启用；（二）定期进行稳定性检测、校正和维护保养，由省级以上卫生行政部门资质认证的检测机构每年至少进行一次状态检测；（三）按照国家有关规定检验或者校准用于放射防护和质量控制的检测仪表；（四）放射诊疗设备及其相关设备的技术指标和安全、防护性能，应当符合有关标准与要求。 　　不合格或国家有关部门规定淘汰的放射诊疗设备不得购置、使用、转让和出租。</w:t>
            </w:r>
          </w:p>
        </w:tc>
        <w:tc>
          <w:tcPr>
            <w:tcW w:w="868"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放射诊疗、放射卫生技术服务机构资质许可</w:t>
            </w:r>
          </w:p>
        </w:tc>
        <w:tc>
          <w:tcPr>
            <w:tcW w:w="50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取得卫生部或者省级卫生行政部门颁发的《放射卫生技术服务资质证书》</w:t>
            </w:r>
          </w:p>
        </w:tc>
        <w:tc>
          <w:tcPr>
            <w:tcW w:w="281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《放射卫生技术服务机构管理办法》第二条 本办法所称的放射卫生技术服务机构是指为医疗机构提供放射诊疗建设项目职业病危害放射防护评价、放射卫生防护检测，提供放射防护器材和含放射性产品检测、个人剂量监测等技术服务的机构。第三条 从事放射卫生技术服务的机构，必须取得卫生部或者省级卫生行政部门颁发的《放射卫生技术服务机构资质证书》。《放射诊疗建设项目卫生审查管理规定》第五条 放射卫生技术服务机构的设置应当遵循合理配置原则。</w:t>
            </w:r>
          </w:p>
        </w:tc>
        <w:tc>
          <w:tcPr>
            <w:tcW w:w="689"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市场调节价</w:t>
            </w:r>
          </w:p>
        </w:tc>
        <w:tc>
          <w:tcPr>
            <w:tcW w:w="682"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tcPr>
          <w:p w:rsidR="00481B78" w:rsidRPr="00AF05AA" w:rsidP="00AF05AA">
            <w:pPr>
              <w:widowControl/>
              <w:spacing w:line="264" w:lineRule="atLeast"/>
              <w:rPr>
                <w:rFonts w:ascii="宋体" w:eastAsia="宋体" w:hAnsi="宋体" w:cs="宋体"/>
                <w:color w:val="333333"/>
                <w:kern w:val="0"/>
                <w:sz w:val="19"/>
                <w:szCs w:val="19"/>
              </w:rPr>
            </w:pPr>
          </w:p>
        </w:tc>
        <w:tc>
          <w:tcPr>
            <w:tcW w:w="699"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行政相对人</w:t>
            </w:r>
          </w:p>
        </w:tc>
        <w:tc>
          <w:tcPr>
            <w:tcW w:w="1411"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　</w:t>
            </w:r>
          </w:p>
        </w:tc>
      </w:tr>
      <w:tr w:rsidTr="00481B78">
        <w:tblPrEx>
          <w:tblW w:w="0" w:type="auto"/>
          <w:shd w:val="clear" w:color="auto" w:fill="FFFFFF"/>
          <w:tblLook w:val="04A0"/>
        </w:tblPrEx>
        <w:tc>
          <w:tcPr>
            <w:tcW w:w="31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5</w:t>
            </w:r>
          </w:p>
        </w:tc>
        <w:tc>
          <w:tcPr>
            <w:tcW w:w="50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提供辐射工作场所放射防护检测</w:t>
            </w:r>
            <w:r w:rsidRPr="00AF05AA">
              <w:rPr>
                <w:rFonts w:ascii="宋体" w:eastAsia="宋体" w:hAnsi="宋体" w:cs="宋体" w:hint="eastAsia"/>
                <w:color w:val="333333"/>
                <w:kern w:val="0"/>
                <w:sz w:val="19"/>
                <w:szCs w:val="19"/>
              </w:rPr>
              <w:t>报告</w:t>
            </w:r>
          </w:p>
        </w:tc>
        <w:tc>
          <w:tcPr>
            <w:tcW w:w="5653"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《放射诊疗管理规定》（中华人民共和国卫生部令第46号）第十七条　《放射诊疗许可证》与《医疗机构执业许可证》同时校验，申请校验时应当提交本周期有关放射诊疗设备性能与辐射工作场所的检测报告、放射诊疗工作人员健康监护资料和工作开展情况报告。医疗机构变更放射诊疗项目的，应当向放射诊疗许可批准机关提出许可变更申请，并提交变更许可项目名称、放射防护评价报告等资料；同时向卫生行政执业登记部门提出诊疗科目变更申请，提交变</w:t>
            </w:r>
            <w:r w:rsidRPr="00AF05AA">
              <w:rPr>
                <w:rFonts w:ascii="宋体" w:eastAsia="宋体" w:hAnsi="宋体" w:cs="宋体" w:hint="eastAsia"/>
                <w:color w:val="333333"/>
                <w:kern w:val="0"/>
                <w:sz w:val="19"/>
                <w:szCs w:val="19"/>
              </w:rPr>
              <w:t>更登记项目及变更理由等资料。卫生行政部门应当自收到变更申请之日起二十日内做出审查决定。未经批准不得变更。第二十一条　医疗机构应当定期对放射诊疗工作场所、放射性同位素储存场所和防护设施进行放射防护检测，保证辐射水平符合有关规定或者标准。放射性同位素不得与易燃、易爆、腐蚀性物品同库储存；储存场所应当采取有效的防泄漏等措施，并安装必要的报警装置。放射性同位素储存场所应当有专人负责，有完善的存入、领取、归还登记和检查的制度，做到交接严格，检查及时，账目清楚，账物相符，记录资料完整。</w:t>
            </w:r>
          </w:p>
        </w:tc>
        <w:tc>
          <w:tcPr>
            <w:tcW w:w="868"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放射诊疗、放射卫生技术服务机构资质许可</w:t>
            </w:r>
          </w:p>
        </w:tc>
        <w:tc>
          <w:tcPr>
            <w:tcW w:w="50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取得卫生部或者省级卫生行政部</w:t>
            </w:r>
            <w:r w:rsidRPr="00AF05AA">
              <w:rPr>
                <w:rFonts w:ascii="宋体" w:eastAsia="宋体" w:hAnsi="宋体" w:cs="宋体" w:hint="eastAsia"/>
                <w:color w:val="333333"/>
                <w:kern w:val="0"/>
                <w:sz w:val="19"/>
                <w:szCs w:val="19"/>
              </w:rPr>
              <w:t>门颁发的《放射卫生技术服务资质证书》</w:t>
            </w:r>
          </w:p>
        </w:tc>
        <w:tc>
          <w:tcPr>
            <w:tcW w:w="281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《放射卫生技术服务机构管理办法》第二条 本办法所称的放射卫生技术服务机构是指为医疗机构提供放射诊疗建设项目职业病危害放射防护评价、放射卫生防护检测，提供放射防护器材和含放射性产品检测、个人剂量监测等</w:t>
            </w:r>
            <w:r w:rsidRPr="00AF05AA">
              <w:rPr>
                <w:rFonts w:ascii="宋体" w:eastAsia="宋体" w:hAnsi="宋体" w:cs="宋体" w:hint="eastAsia"/>
                <w:color w:val="333333"/>
                <w:kern w:val="0"/>
                <w:sz w:val="19"/>
                <w:szCs w:val="19"/>
              </w:rPr>
              <w:t>技术服务的机构。第三条 从事放射卫生技术服务的机构，必须取得卫生部或者省级卫生行政部门颁发的《放射卫生技术服务机构资质证书》。《放射诊疗建设项目卫生审查管理规定》第五条 放射卫生技术服务机构的设置应当遵循合理配置原则。</w:t>
            </w:r>
          </w:p>
        </w:tc>
        <w:tc>
          <w:tcPr>
            <w:tcW w:w="689"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市场调节价</w:t>
            </w:r>
          </w:p>
        </w:tc>
        <w:tc>
          <w:tcPr>
            <w:tcW w:w="682"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tcPr>
          <w:p w:rsidR="00481B78" w:rsidRPr="00AF05AA" w:rsidP="00AF05AA">
            <w:pPr>
              <w:widowControl/>
              <w:spacing w:line="264" w:lineRule="atLeast"/>
              <w:rPr>
                <w:rFonts w:ascii="宋体" w:eastAsia="宋体" w:hAnsi="宋体" w:cs="宋体"/>
                <w:color w:val="333333"/>
                <w:kern w:val="0"/>
                <w:sz w:val="19"/>
                <w:szCs w:val="19"/>
              </w:rPr>
            </w:pPr>
          </w:p>
        </w:tc>
        <w:tc>
          <w:tcPr>
            <w:tcW w:w="699"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行政相对人</w:t>
            </w:r>
          </w:p>
        </w:tc>
        <w:tc>
          <w:tcPr>
            <w:tcW w:w="1411"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　</w:t>
            </w:r>
          </w:p>
        </w:tc>
      </w:tr>
      <w:tr w:rsidTr="00481B78">
        <w:tblPrEx>
          <w:tblW w:w="0" w:type="auto"/>
          <w:shd w:val="clear" w:color="auto" w:fill="FFFFFF"/>
          <w:tblLook w:val="04A0"/>
        </w:tblPrEx>
        <w:tc>
          <w:tcPr>
            <w:tcW w:w="31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6</w:t>
            </w:r>
          </w:p>
        </w:tc>
        <w:tc>
          <w:tcPr>
            <w:tcW w:w="50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提供个人剂量监测数据</w:t>
            </w:r>
          </w:p>
        </w:tc>
        <w:tc>
          <w:tcPr>
            <w:tcW w:w="5653"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《放射工作人员职业健康管理办法》第三章 个人剂量监测管理 第十一条 放射工作单位应当按照本办法和国家有关标准、规范的要求，安排本单位的放射工作人员接受个人剂量监测，并遵守下列规定： （一）外照射个人剂量监测周期一般为30天，最长不应超过90天；内照射个人剂量监测周期按照有关标准执行； （二）建立并终生保存个人剂量监测档案； （三）允许放射工作人员查阅、复印本人的个人剂量监测档案。</w:t>
            </w:r>
          </w:p>
        </w:tc>
        <w:tc>
          <w:tcPr>
            <w:tcW w:w="868"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放射诊疗、放射卫生技术服务机构资质许可</w:t>
            </w:r>
          </w:p>
        </w:tc>
        <w:tc>
          <w:tcPr>
            <w:tcW w:w="50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取得卫生部或者省级卫生行政部门颁发的《放射卫生技术服务资质证书》</w:t>
            </w:r>
          </w:p>
        </w:tc>
        <w:tc>
          <w:tcPr>
            <w:tcW w:w="281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《放射卫生技术服务机构管理办法》第二条 本办法所称的放射卫生技术服务机构是指为医疗机构提供放射诊疗建设项目职业病危害放射防护评价、放射卫生防护检测，提供放射防护器材和含放射性产品检测、个人剂量监测等技术服务的机构。第三条 从事放射卫生技术服务的机构，必须取得卫生部或者省级卫生行政部门颁发的《放射卫生技术服务机构资质证书》。 《放射工作人员职业健康管理办法》第十四条 个人剂量监测工作应当由具备资质的个人剂量监测技术服务机构承担。个人剂量监测技术服务机构的资质审定由中国疾病预防控制中心协助卫生部组织实施。 个人</w:t>
            </w:r>
            <w:r w:rsidRPr="00AF05AA">
              <w:rPr>
                <w:rFonts w:ascii="宋体" w:eastAsia="宋体" w:hAnsi="宋体" w:cs="宋体" w:hint="eastAsia"/>
                <w:color w:val="333333"/>
                <w:kern w:val="0"/>
                <w:sz w:val="19"/>
                <w:szCs w:val="19"/>
              </w:rPr>
              <w:t>剂量监测技术服务机构的资质审定按照《职业病防治法》、《职业卫生技术服务机构管理办法》和卫生部有关规定执行。      </w:t>
            </w:r>
          </w:p>
        </w:tc>
        <w:tc>
          <w:tcPr>
            <w:tcW w:w="689"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市场调节价</w:t>
            </w:r>
          </w:p>
        </w:tc>
        <w:tc>
          <w:tcPr>
            <w:tcW w:w="682"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tcPr>
          <w:p w:rsidR="00481B78" w:rsidRPr="00AF05AA" w:rsidP="00AF05AA">
            <w:pPr>
              <w:widowControl/>
              <w:spacing w:line="264" w:lineRule="atLeast"/>
              <w:rPr>
                <w:rFonts w:ascii="宋体" w:eastAsia="宋体" w:hAnsi="宋体" w:cs="宋体"/>
                <w:color w:val="333333"/>
                <w:kern w:val="0"/>
                <w:sz w:val="19"/>
                <w:szCs w:val="19"/>
              </w:rPr>
            </w:pPr>
          </w:p>
        </w:tc>
        <w:tc>
          <w:tcPr>
            <w:tcW w:w="699"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行政相对人</w:t>
            </w:r>
          </w:p>
        </w:tc>
        <w:tc>
          <w:tcPr>
            <w:tcW w:w="1411"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　</w:t>
            </w:r>
          </w:p>
        </w:tc>
      </w:tr>
      <w:tr w:rsidTr="00481B78">
        <w:tblPrEx>
          <w:tblW w:w="0" w:type="auto"/>
          <w:shd w:val="clear" w:color="auto" w:fill="FFFFFF"/>
          <w:tblLook w:val="04A0"/>
        </w:tblPrEx>
        <w:tc>
          <w:tcPr>
            <w:tcW w:w="31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7</w:t>
            </w:r>
          </w:p>
        </w:tc>
        <w:tc>
          <w:tcPr>
            <w:tcW w:w="50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出具污水污物处理设施验收合格证明</w:t>
            </w:r>
          </w:p>
        </w:tc>
        <w:tc>
          <w:tcPr>
            <w:tcW w:w="5653"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1.《医疗机构管理条例》（国务院令第149号）第十五条 医疗机构执业，必须进行登记，领取《医疗机构执业许可证》。 2.《医疗机构管理条例实施细则》（卫生部令第35号）第十五条 条例第十条规定提交的设置可行性研究报告包括以下内容：（十）拟设医疗机构的污水、污物、粪便处理方案；</w:t>
            </w:r>
          </w:p>
        </w:tc>
        <w:tc>
          <w:tcPr>
            <w:tcW w:w="868"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医疗机构设置审批和执业许可</w:t>
            </w:r>
          </w:p>
        </w:tc>
        <w:tc>
          <w:tcPr>
            <w:tcW w:w="50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有环境影响评价资质的单位</w:t>
            </w:r>
          </w:p>
        </w:tc>
        <w:tc>
          <w:tcPr>
            <w:tcW w:w="2810"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《环境监测管理办法》第二条 本办法适用于县级以上环境保护部门下列环境监测活动的管理：（一）环境质量监测；（二）污染源监督性监测；（三）突发环境污染事件应急监测；（四）为环境状况调查和评价等环境管理活动提供监测数据的其他环境监测活动。</w:t>
            </w:r>
          </w:p>
        </w:tc>
        <w:tc>
          <w:tcPr>
            <w:tcW w:w="689"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市场调节价</w:t>
            </w:r>
          </w:p>
        </w:tc>
        <w:tc>
          <w:tcPr>
            <w:tcW w:w="682"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tcPr>
          <w:p w:rsidR="00481B78" w:rsidRPr="00AF05AA" w:rsidP="00AF05AA">
            <w:pPr>
              <w:widowControl/>
              <w:spacing w:line="264" w:lineRule="atLeast"/>
              <w:rPr>
                <w:rFonts w:ascii="宋体" w:eastAsia="宋体" w:hAnsi="宋体" w:cs="宋体"/>
                <w:color w:val="333333"/>
                <w:kern w:val="0"/>
                <w:sz w:val="19"/>
                <w:szCs w:val="19"/>
              </w:rPr>
            </w:pPr>
          </w:p>
        </w:tc>
        <w:tc>
          <w:tcPr>
            <w:tcW w:w="699"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color w:val="333333"/>
                <w:kern w:val="0"/>
                <w:sz w:val="19"/>
                <w:szCs w:val="19"/>
              </w:rPr>
              <w:t>行政相对人</w:t>
            </w:r>
          </w:p>
        </w:tc>
        <w:tc>
          <w:tcPr>
            <w:tcW w:w="1411" w:type="dxa"/>
            <w:tcBorders>
              <w:top w:val="single" w:sz="4" w:space="0" w:color="333333"/>
              <w:left w:val="single" w:sz="4" w:space="0" w:color="333333"/>
              <w:bottom w:val="single" w:sz="4" w:space="0" w:color="333333"/>
              <w:right w:val="single" w:sz="4" w:space="0" w:color="333333"/>
            </w:tcBorders>
            <w:shd w:val="clear" w:color="auto" w:fill="FFFFFF"/>
            <w:tcMar>
              <w:top w:w="60" w:type="dxa"/>
              <w:left w:w="60" w:type="dxa"/>
              <w:bottom w:w="60" w:type="dxa"/>
              <w:right w:w="60" w:type="dxa"/>
            </w:tcMar>
            <w:vAlign w:val="center"/>
            <w:hideMark/>
          </w:tcPr>
          <w:p w:rsidR="00481B78" w:rsidRPr="00AF05AA" w:rsidP="00AF05AA">
            <w:pPr>
              <w:widowControl/>
              <w:spacing w:line="264" w:lineRule="atLeast"/>
              <w:rPr>
                <w:rFonts w:ascii="宋体" w:eastAsia="宋体" w:hAnsi="宋体" w:cs="宋体"/>
                <w:color w:val="333333"/>
                <w:kern w:val="0"/>
                <w:sz w:val="19"/>
                <w:szCs w:val="19"/>
              </w:rPr>
            </w:pPr>
            <w:r w:rsidRPr="00AF05AA">
              <w:rPr>
                <w:rFonts w:ascii="宋体" w:eastAsia="宋体" w:hAnsi="宋体" w:cs="宋体" w:hint="eastAsia"/>
                <w:b/>
                <w:bCs/>
                <w:color w:val="333333"/>
                <w:kern w:val="0"/>
                <w:sz w:val="19"/>
              </w:rPr>
              <w:t>可行性研究报告 </w:t>
            </w:r>
            <w:r w:rsidRPr="00AF05AA">
              <w:rPr>
                <w:rFonts w:ascii="宋体" w:eastAsia="宋体" w:hAnsi="宋体" w:cs="宋体" w:hint="eastAsia"/>
                <w:color w:val="333333"/>
                <w:kern w:val="0"/>
                <w:sz w:val="19"/>
                <w:szCs w:val="19"/>
              </w:rPr>
              <w:t>申请人可按要求自行编制，也可委托有关机构编制，审批部门不得以任何形式要求申请人必须委托特定中介机构提供服务。</w:t>
            </w:r>
          </w:p>
        </w:tc>
      </w:tr>
    </w:tbl>
    <w:p w:rsidR="00AF05AA" w:rsidRPr="00AF05AA" w:rsidP="00AD4AA5">
      <w:pPr>
        <w:jc w:val="center"/>
        <w:rPr>
          <w:rFonts w:asciiTheme="minorEastAsia" w:hAnsiTheme="minorEastAsia"/>
          <w:sz w:val="24"/>
          <w:szCs w:val="24"/>
        </w:rPr>
      </w:pPr>
    </w:p>
    <w:p w:rsidR="00AF05AA" w:rsidP="00AD4AA5">
      <w:pPr>
        <w:jc w:val="center"/>
        <w:rPr>
          <w:rFonts w:asciiTheme="minorEastAsia" w:hAnsiTheme="minorEastAsia"/>
          <w:sz w:val="24"/>
          <w:szCs w:val="24"/>
        </w:rPr>
      </w:pPr>
    </w:p>
    <w:p w:rsidR="00AF05AA" w:rsidP="00AD4AA5">
      <w:pPr>
        <w:jc w:val="center"/>
        <w:rPr>
          <w:rFonts w:asciiTheme="minorEastAsia" w:hAnsiTheme="minorEastAsia"/>
          <w:sz w:val="24"/>
          <w:szCs w:val="24"/>
        </w:rPr>
      </w:pPr>
    </w:p>
    <w:p w:rsidR="00AF05AA" w:rsidP="00AD4AA5">
      <w:pPr>
        <w:jc w:val="center"/>
        <w:rPr>
          <w:rFonts w:asciiTheme="minorEastAsia" w:hAnsiTheme="minorEastAsia"/>
          <w:sz w:val="24"/>
          <w:szCs w:val="24"/>
        </w:rPr>
      </w:pPr>
    </w:p>
    <w:p w:rsidR="00AF05AA" w:rsidRPr="00AD4AA5" w:rsidP="00AD4AA5">
      <w:pPr>
        <w:jc w:val="center"/>
        <w:rPr>
          <w:rFonts w:asciiTheme="minorEastAsia" w:hAnsiTheme="minorEastAsia"/>
          <w:sz w:val="24"/>
          <w:szCs w:val="24"/>
        </w:rPr>
      </w:pPr>
    </w:p>
    <w:sectPr w:rsidSect="00AD4AA5">
      <w:pgSz w:w="16838" w:h="11906" w:orient="landscape" w:code="9"/>
      <w:pgMar w:top="1701"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4AA5"/>
    <w:rsid w:val="00065EAD"/>
    <w:rsid w:val="001C2C97"/>
    <w:rsid w:val="001D0519"/>
    <w:rsid w:val="001D754B"/>
    <w:rsid w:val="001F3E63"/>
    <w:rsid w:val="00481B78"/>
    <w:rsid w:val="005048B6"/>
    <w:rsid w:val="007337F4"/>
    <w:rsid w:val="007650FE"/>
    <w:rsid w:val="007C6B85"/>
    <w:rsid w:val="00860694"/>
    <w:rsid w:val="008B1490"/>
    <w:rsid w:val="00A06B4B"/>
    <w:rsid w:val="00A10F68"/>
    <w:rsid w:val="00A60436"/>
    <w:rsid w:val="00AD4AA5"/>
    <w:rsid w:val="00AF05AA"/>
    <w:rsid w:val="00B22CDB"/>
    <w:rsid w:val="00D1087A"/>
    <w:rsid w:val="00EF1815"/>
    <w:rsid w:val="00F7226D"/>
    <w:rsid w:val="00FA5C5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F68"/>
    <w:pPr>
      <w:widowControl w:val="0"/>
      <w:jc w:val="both"/>
    </w:pPr>
  </w:style>
  <w:style w:type="paragraph" w:styleId="Heading1">
    <w:name w:val="heading 1"/>
    <w:basedOn w:val="Normal"/>
    <w:link w:val="1Char"/>
    <w:uiPriority w:val="9"/>
    <w:qFormat/>
    <w:rsid w:val="00AD4AA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uiPriority w:val="9"/>
    <w:rsid w:val="00AD4AA5"/>
    <w:rPr>
      <w:rFonts w:ascii="宋体" w:eastAsia="宋体" w:hAnsi="宋体" w:cs="宋体"/>
      <w:b/>
      <w:bCs/>
      <w:kern w:val="36"/>
      <w:sz w:val="48"/>
      <w:szCs w:val="48"/>
    </w:rPr>
  </w:style>
  <w:style w:type="character" w:styleId="Strong">
    <w:name w:val="Strong"/>
    <w:basedOn w:val="DefaultParagraphFont"/>
    <w:uiPriority w:val="22"/>
    <w:qFormat/>
    <w:rsid w:val="00AF05AA"/>
    <w:rPr>
      <w:b/>
      <w:bCs/>
    </w:rPr>
  </w:style>
  <w:style w:type="paragraph" w:styleId="Header">
    <w:name w:val="header"/>
    <w:basedOn w:val="Normal"/>
    <w:link w:val="Char"/>
    <w:uiPriority w:val="99"/>
    <w:semiHidden/>
    <w:unhideWhenUsed/>
    <w:rsid w:val="00FA5C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semiHidden/>
    <w:rsid w:val="00FA5C5A"/>
    <w:rPr>
      <w:sz w:val="18"/>
      <w:szCs w:val="18"/>
    </w:rPr>
  </w:style>
  <w:style w:type="paragraph" w:styleId="Footer">
    <w:name w:val="footer"/>
    <w:basedOn w:val="Normal"/>
    <w:link w:val="Char0"/>
    <w:uiPriority w:val="99"/>
    <w:semiHidden/>
    <w:unhideWhenUsed/>
    <w:rsid w:val="00FA5C5A"/>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semiHidden/>
    <w:rsid w:val="00FA5C5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80F0C-71DE-4334-9734-65C08C7B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34</Pages>
  <Words>3596</Words>
  <Characters>20501</Characters>
  <Application>Microsoft Office Word</Application>
  <DocSecurity>0</DocSecurity>
  <Lines>170</Lines>
  <Paragraphs>48</Paragraphs>
  <ScaleCrop>false</ScaleCrop>
  <Company>微软公司</Company>
  <LinksUpToDate>false</LinksUpToDate>
  <CharactersWithSpaces>24049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3</cp:revision>
  <dcterms:created xsi:type="dcterms:W3CDTF">2023-05-15T11:28:00Z</dcterms:created>
  <dcterms:modified xsi:type="dcterms:W3CDTF">2023-05-15T11:58:00Z</dcterms:modified>
</cp:coreProperties>
</file>