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333333"/>
          <w:spacing w:val="0"/>
          <w:sz w:val="32"/>
          <w:szCs w:val="32"/>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r>
        <w:rPr>
          <w:rFonts w:hint="default" w:ascii="Times New Roman" w:hAnsi="Times New Roman" w:eastAsia="方正小标宋_GBK" w:cs="Times New Roman"/>
          <w:b w:val="0"/>
          <w:bCs w:val="0"/>
          <w:i w:val="0"/>
          <w:iCs w:val="0"/>
          <w:caps w:val="0"/>
          <w:color w:val="333333"/>
          <w:spacing w:val="0"/>
          <w:sz w:val="44"/>
          <w:szCs w:val="44"/>
          <w:shd w:val="clear" w:fill="FFFFFF"/>
        </w:rPr>
        <w:t>寿县众兴镇202</w:t>
      </w:r>
      <w:r>
        <w:rPr>
          <w:rFonts w:hint="default" w:ascii="Times New Roman" w:hAnsi="Times New Roman" w:eastAsia="方正小标宋_GBK" w:cs="Times New Roman"/>
          <w:b w:val="0"/>
          <w:bCs w:val="0"/>
          <w:i w:val="0"/>
          <w:iCs w:val="0"/>
          <w:caps w:val="0"/>
          <w:color w:val="333333"/>
          <w:spacing w:val="0"/>
          <w:sz w:val="44"/>
          <w:szCs w:val="44"/>
          <w:shd w:val="clear" w:fill="FFFFFF"/>
          <w:lang w:val="en-US" w:eastAsia="zh-CN"/>
        </w:rPr>
        <w:t>2</w:t>
      </w:r>
      <w:r>
        <w:rPr>
          <w:rFonts w:hint="default" w:ascii="Times New Roman" w:hAnsi="Times New Roman" w:eastAsia="方正小标宋_GBK" w:cs="Times New Roman"/>
          <w:b w:val="0"/>
          <w:bCs w:val="0"/>
          <w:i w:val="0"/>
          <w:iCs w:val="0"/>
          <w:caps w:val="0"/>
          <w:color w:val="333333"/>
          <w:spacing w:val="0"/>
          <w:sz w:val="44"/>
          <w:szCs w:val="44"/>
          <w:shd w:val="clear" w:fill="FFFFFF"/>
        </w:rPr>
        <w:t>年政府信息公开工作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r>
        <w:rPr>
          <w:rFonts w:hint="default" w:ascii="Times New Roman" w:hAnsi="Times New Roman" w:eastAsia="方正小标宋_GBK" w:cs="Times New Roman"/>
          <w:b w:val="0"/>
          <w:bCs w:val="0"/>
          <w:i w:val="0"/>
          <w:iCs w:val="0"/>
          <w:caps w:val="0"/>
          <w:color w:val="333333"/>
          <w:spacing w:val="0"/>
          <w:sz w:val="44"/>
          <w:szCs w:val="44"/>
          <w:shd w:val="clear" w:fill="FFFFFF"/>
        </w:rPr>
        <w:t>年度报告</w:t>
      </w:r>
    </w:p>
    <w:p>
      <w:pPr>
        <w:rPr>
          <w:rFonts w:hint="default"/>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本报告依据依据《中华人民共和国政府信息公开条例》（国务院令第</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711号） 、《国务院办公厅政府信息与政务公开办公室关于印发〈中华人民共和国政府信息公开工作年度报告格式〉的通知》（国办公开办函〔2021〕30号）及及《安徽省政务公开办公室关于做好2022年度政府信息公开工作年度报告编制和数据报送工作的通知》（皖政务办秘〔2023〕1号）要求，结合众兴镇政府信息公开工作有关统计数据撰写。报告主要包括</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六</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个板块：总体情况、主动公开政府信息情况、收到和处理政府信息公开申请情况、政府信息公开行政复议、行政诉讼情况、存在的主要问题及改进情况、其他需要报告的事项。本报告中使用数据统计期限为202</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年1月1日至12月31日。报告的电子版可在寿县政府信息公开网站下载。如对本报告有任何疑问，请与众兴镇人民政府联系（地址：淮南市寿县众兴镇人民政府，电话：0554-4699088）。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众兴镇贯彻落实《淮南市人民政府办公室2022年政务公开重点工作任务分工》及《寿县2022年政务公开重点工作任务分工》文件要求，积极做好了2022年政务信息公开工作，聚焦基层重点领域，扩大民生关切范围，加强政府信息公开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紧紧围绕寿县和众兴镇政府的工作及人民群众重点关切问题，及时公开政府各类信息。经统计，众兴镇2022年政务公开发布公开信息共807条，其中，发布政策文件18条，政策解读10条，国民经济和社会发展统计信息24条，财政资金24条，应急管理30条，政府会议17条，年度重点工作任务分解、执行及落实情况共21条，回应关切26条，为民服务栏目共32条，财政专项资金栏目285条，公共资源交易栏目23条，土地利用和管理15条，公共服务与民生35条，社会公益事业建设235条，监督保障12条等，并对基层政务公开栏目进行定期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（二）</w:t>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我镇2022年未收到政府信息公开申请。在全年的公开信息中，无因政府信息公开工作申请行政复议、提起行政诉讼的情况发生。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（三）</w:t>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一是明确领导同意。在镇政务公开领导小组统一管理下，镇党政办为牵头单位，各部门、单位负责协助，提供政务公开相关业务资料；二是明确职责划分。确定部门职能，按月按季收集整理各部门重点工作数据及文字，加强网站管理，完善公开栏目内容；三是严守信息发布准确性与保密性，由党政办牵头为每份文件进行审核，保障不泄密与文件准确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（四）</w:t>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政府信息公开平台建设情况情况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众兴镇高度重视政务公开工作，我镇按要求统一对公开平台进行调整。按照上级要求，主动扩大公开栏目，完善公开栏目类型，设立“公开制度”和“基层公开制度”栏目。严格按照各级政府发布的重点工作任务分工和“乡镇（街道）政府信息主动公开基本目录”（2021年版）规范公开要素，结合该镇实际工作部署，保证网站普查栏目信息齐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（五）</w:t>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监督保障情况情况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2022年，众兴镇参加四次与本镇相关的第三方评估，共参与四次相关业务培训会，极大的提高了该镇政务公开业务能力，有力促进了各部门政务信息公开协作能力。完善社会评议制度，强化责任追究，严格遵守《淮南市政府信息公开社会评议制度》、《淮南市政府信息公开责任追究制度》，保障人民群众的监督权，本年社会评议良好，未发生责任追究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二、主动公开政府信息情况</w:t>
      </w:r>
    </w:p>
    <w:tbl>
      <w:tblPr>
        <w:tblStyle w:val="8"/>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5"/>
        <w:gridCol w:w="2025"/>
        <w:gridCol w:w="20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信息内容</w:t>
            </w:r>
          </w:p>
        </w:tc>
        <w:tc>
          <w:tcPr>
            <w:tcW w:w="2025"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本年</w:t>
            </w:r>
            <w:r>
              <w:rPr>
                <w:rFonts w:hint="default" w:ascii="Times New Roman" w:hAnsi="Times New Roman" w:eastAsia="方正仿宋_GBK" w:cs="Times New Roman"/>
                <w:i w:val="0"/>
                <w:iCs w:val="0"/>
                <w:caps w:val="0"/>
                <w:color w:val="333333"/>
                <w:spacing w:val="0"/>
                <w:kern w:val="0"/>
                <w:sz w:val="28"/>
                <w:szCs w:val="28"/>
                <w:lang w:val="en-US" w:eastAsia="zh-CN" w:bidi="ar"/>
              </w:rPr>
              <w:t>制发件数</w:t>
            </w:r>
          </w:p>
        </w:tc>
        <w:tc>
          <w:tcPr>
            <w:tcW w:w="2025"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本年废止件数</w:t>
            </w:r>
          </w:p>
        </w:tc>
        <w:tc>
          <w:tcPr>
            <w:tcW w:w="2025"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现行有效件</w:t>
            </w:r>
            <w:r>
              <w:rPr>
                <w:rFonts w:hint="default" w:ascii="Times New Roman" w:hAnsi="Times New Roman" w:eastAsia="方正仿宋_GBK" w:cs="Times New Roman"/>
                <w:i w:val="0"/>
                <w:iCs w:val="0"/>
                <w:caps w:val="0"/>
                <w:color w:val="333333"/>
                <w:spacing w:val="0"/>
                <w:kern w:val="0"/>
                <w:sz w:val="28"/>
                <w:szCs w:val="28"/>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规章</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0</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0</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333333"/>
                <w:spacing w:val="0"/>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行政规范性文件</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0</w:t>
            </w:r>
          </w:p>
        </w:tc>
        <w:tc>
          <w:tcPr>
            <w:tcW w:w="202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信息内容</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行政许可</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333333"/>
                <w:spacing w:val="0"/>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信息内容</w:t>
            </w:r>
          </w:p>
        </w:tc>
        <w:tc>
          <w:tcPr>
            <w:tcW w:w="6075" w:type="dxa"/>
            <w:gridSpan w:val="3"/>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行政处罚</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行政强制</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8100" w:type="dxa"/>
            <w:gridSpan w:val="4"/>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信息内容</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众兴镇本年收费金额（单位：万元）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5" w:hRule="atLeast"/>
          <w:jc w:val="center"/>
        </w:trPr>
        <w:tc>
          <w:tcPr>
            <w:tcW w:w="202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spacing w:val="0"/>
                <w:kern w:val="0"/>
                <w:sz w:val="28"/>
                <w:szCs w:val="28"/>
                <w:lang w:val="en-US" w:eastAsia="zh-CN" w:bidi="ar"/>
              </w:rPr>
              <w:t>行政事业性收费</w:t>
            </w:r>
          </w:p>
        </w:tc>
        <w:tc>
          <w:tcPr>
            <w:tcW w:w="6075"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333333"/>
                <w:spacing w:val="0"/>
                <w:kern w:val="0"/>
                <w:sz w:val="28"/>
                <w:szCs w:val="28"/>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三、收到和处理政府信息公开申请情况</w:t>
      </w:r>
    </w:p>
    <w:tbl>
      <w:tblPr>
        <w:tblStyle w:val="8"/>
        <w:tblW w:w="82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4"/>
        <w:gridCol w:w="954"/>
        <w:gridCol w:w="2604"/>
        <w:gridCol w:w="568"/>
        <w:gridCol w:w="568"/>
        <w:gridCol w:w="568"/>
        <w:gridCol w:w="568"/>
        <w:gridCol w:w="568"/>
        <w:gridCol w:w="575"/>
        <w:gridCol w:w="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7" w:hRule="atLeast"/>
          <w:jc w:val="center"/>
        </w:trPr>
        <w:tc>
          <w:tcPr>
            <w:tcW w:w="4220"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（本列数据的勾稽关系为：第一项加第二项之和，等于第三项加第四项之和）</w:t>
            </w:r>
          </w:p>
        </w:tc>
        <w:tc>
          <w:tcPr>
            <w:tcW w:w="3999"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7" w:hRule="atLeast"/>
          <w:jc w:val="center"/>
        </w:trPr>
        <w:tc>
          <w:tcPr>
            <w:tcW w:w="422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70"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自然人</w:t>
            </w:r>
          </w:p>
        </w:tc>
        <w:tc>
          <w:tcPr>
            <w:tcW w:w="2856"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法人或其他组织</w:t>
            </w:r>
          </w:p>
        </w:tc>
        <w:tc>
          <w:tcPr>
            <w:tcW w:w="573"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61" w:hRule="atLeast"/>
          <w:jc w:val="center"/>
        </w:trPr>
        <w:tc>
          <w:tcPr>
            <w:tcW w:w="422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70"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企业</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机构</w:t>
            </w:r>
          </w:p>
        </w:tc>
        <w:tc>
          <w:tcPr>
            <w:tcW w:w="57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社会公益组织</w:t>
            </w:r>
          </w:p>
        </w:tc>
        <w:tc>
          <w:tcPr>
            <w:tcW w:w="57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法律服务机构</w:t>
            </w:r>
          </w:p>
        </w:tc>
        <w:tc>
          <w:tcPr>
            <w:tcW w:w="57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其他</w:t>
            </w:r>
          </w:p>
        </w:tc>
        <w:tc>
          <w:tcPr>
            <w:tcW w:w="573"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4" w:hRule="atLeast"/>
          <w:jc w:val="center"/>
        </w:trPr>
        <w:tc>
          <w:tcPr>
            <w:tcW w:w="422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一、本年新收政府信息公开申请数量</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422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二、上年结转政府信息公开申请数量</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三、本年度办理结果</w:t>
            </w:r>
          </w:p>
        </w:tc>
        <w:tc>
          <w:tcPr>
            <w:tcW w:w="355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（一）予以公开</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0 </w:t>
            </w:r>
          </w:p>
        </w:tc>
        <w:tc>
          <w:tcPr>
            <w:tcW w:w="573"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091"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355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（二）部分公开（区分处理的，只计这一情形，不计其他情形）</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（三）不予公开</w:t>
            </w: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1.属于国家秘密</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2.其他法律行政法规禁止公开</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3.危及“三安全一稳定”</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4.保护第三方合法权益</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5.属于三类内部事务信息</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6.属于四类过程性信息</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7.属于行政执法案卷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8.属于行政查询事项</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（四）无法提供</w:t>
            </w: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1.本机关不掌握相关政府信息</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2.没有现成信息需要另行制作</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3.补正后申请内容仍不明确</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（五）不予处理</w:t>
            </w: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1.信访举报投诉类申请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2.重复申请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3.要求提供公开出版物</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3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4.无正当理由大量反复申请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091"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5.要求行政机关确认或重新出具已获取信息</w:t>
            </w:r>
          </w:p>
        </w:tc>
        <w:tc>
          <w:tcPr>
            <w:tcW w:w="57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44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（六）其他处理</w:t>
            </w: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1.申请人无正当理由逾期不补正、行政机关不再处理其政府信息公开申请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804"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2.申请人逾期未按收费通知要求缴纳费用、行政机关不再处理其政府信息公开申请</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935"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262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3.其他</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77" w:hRule="atLeast"/>
          <w:jc w:val="center"/>
        </w:trPr>
        <w:tc>
          <w:tcPr>
            <w:tcW w:w="6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355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（七）总计</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97" w:hRule="atLeast"/>
          <w:jc w:val="center"/>
        </w:trPr>
        <w:tc>
          <w:tcPr>
            <w:tcW w:w="422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四、结转下年度继续办理</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 0</w:t>
            </w:r>
          </w:p>
        </w:tc>
        <w:tc>
          <w:tcPr>
            <w:tcW w:w="57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四、政府信息公开行政复议、行政诉讼情况</w:t>
      </w:r>
    </w:p>
    <w:tbl>
      <w:tblPr>
        <w:tblStyle w:val="8"/>
        <w:tblW w:w="77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行政复议</w:t>
            </w:r>
          </w:p>
        </w:tc>
        <w:tc>
          <w:tcPr>
            <w:tcW w:w="520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结果维持</w:t>
            </w:r>
          </w:p>
        </w:tc>
        <w:tc>
          <w:tcPr>
            <w:tcW w:w="51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纠正</w:t>
            </w:r>
          </w:p>
        </w:tc>
        <w:tc>
          <w:tcPr>
            <w:tcW w:w="51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tc>
        <w:tc>
          <w:tcPr>
            <w:tcW w:w="51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审结</w:t>
            </w:r>
          </w:p>
        </w:tc>
        <w:tc>
          <w:tcPr>
            <w:tcW w:w="52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总计</w:t>
            </w:r>
          </w:p>
        </w:tc>
        <w:tc>
          <w:tcPr>
            <w:tcW w:w="259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未经复议直接起诉</w:t>
            </w:r>
          </w:p>
        </w:tc>
        <w:tc>
          <w:tcPr>
            <w:tcW w:w="260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1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1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2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维持</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纠正</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审结</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总计</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维持</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纠正</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结果</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审结</w:t>
            </w:r>
          </w:p>
        </w:tc>
        <w:tc>
          <w:tcPr>
            <w:tcW w:w="5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15" w:hRule="atLeast"/>
          <w:jc w:val="center"/>
        </w:trPr>
        <w:tc>
          <w:tcPr>
            <w:tcW w:w="5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c>
          <w:tcPr>
            <w:tcW w:w="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pPr>
            <w:r>
              <w:rPr>
                <w:rFonts w:hint="default" w:ascii="Times New Roman" w:hAnsi="Times New Roman" w:eastAsia="方正仿宋_GBK" w:cs="Times New Roman"/>
                <w:i w:val="0"/>
                <w:iCs w:val="0"/>
                <w:caps w:val="0"/>
                <w:color w:val="000000"/>
                <w:spacing w:val="0"/>
                <w:kern w:val="0"/>
                <w:sz w:val="28"/>
                <w:szCs w:val="28"/>
                <w:highlight w:val="none"/>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目前我镇在政府网站及政务新媒体建设工作实施过程中，存在的问题和困难主要有：一，我镇对于任何更好的发展政务工作没有具体的规划与认知，工作往往按部就班，没有创新性，对于如何提高工作没有自己的想法。二，党政办人手不足，政务工作人手不足，工作人员身兼数职，精力有限，导致工作具体经办人业务不精，效率降低，群众关注度较低。三，各村、街道对于政务工作的重视度不够，政务工作人员对于工作认知不到位，导致总体工作质量不好。四，乡镇老人较多，群众对于如何在政府网站获取自己所需的材料的流程不熟知，对网站认知度较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1，2023年，我镇将积极参与各类培训，到其他兄弟单位取经，学习他人优秀工作经验，并总结汇总带入到众兴镇的工作事项中来，制定更完善的工作的计划。2，众兴镇2023年领导小组会积极努力减少政务工作压力，积极争取新同志的加入，为政务公开工作人员减压。帮助政务负责人完成相关工作，保障的工作顺利开展。3，众兴镇从2023年1月开始每个季度会开展一次政务服务工作研讨会，要求八个村的书记与工作人员参会，会议由政务公开领导主持，共同探讨、研究，提高大家工作认知与工作的积极性。4，2023年众兴镇共打算组织相关宣传活动7次，预计在众兴镇各大超市，菜市场，学校组织相关的宣传活动，推广政府网站在群众中的认知度。2023年会继续完善便民服务大厅相关设施，对于不会使用网络的老年人与人群准备增加指示牌、办事流程表，安排专人负责，帮助群众更好的获取相关材料与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按照《国务院办公厅关于印发&lt;政府信息公开信息处理费管理办法&gt;的通知》(国办函〔2020〕109号)和《安徽省财政厅安徽省发展和改革委员会关于政府信息公开信息处理费用有关事项的通知》（皖财综〔2021〕28号）文件，本年度未收取信息处理费。</w:t>
      </w:r>
    </w:p>
    <w:p>
      <w:pPr>
        <w:pStyle w:val="2"/>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众兴镇</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人民政府</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i w:val="0"/>
          <w:iCs w:val="0"/>
          <w:caps w:val="0"/>
          <w:color w:val="333333"/>
          <w:spacing w:val="0"/>
          <w:sz w:val="32"/>
          <w:szCs w:val="32"/>
          <w:lang w:val="en-US"/>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年1月1</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641"/>
        <w:jc w:val="center"/>
        <w:textAlignment w:val="auto"/>
        <w:rPr>
          <w:rFonts w:hint="default" w:ascii="Times New Roman" w:hAnsi="Times New Roman" w:eastAsia="方正仿宋_GBK" w:cs="Times New Roman"/>
          <w:i w:val="0"/>
          <w:iCs w:val="0"/>
          <w:caps w:val="0"/>
          <w:color w:val="auto"/>
          <w:spacing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left="4788" w:leftChars="2280" w:firstLine="3600" w:firstLineChars="2000"/>
      <w:rPr>
        <w:rFonts w:eastAsia="仿宋"/>
        <w:sz w:val="32"/>
        <w:szCs w:val="4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mc:Fallback>
      </mc:AlternateContent>
    </w:r>
    <w:r>
      <w:rPr>
        <w:rFonts w:eastAsia="仿宋"/>
        <w:sz w:val="32"/>
        <w:szCs w:val="48"/>
      </w:rPr>
      <w:t xml:space="preserve">  </w:t>
    </w:r>
  </w:p>
  <w:p>
    <w:pPr>
      <w:pStyle w:val="6"/>
      <w:pBdr>
        <w:top w:val="none" w:color="auto" w:sz="0" w:space="0"/>
        <w:left w:val="none" w:color="auto" w:sz="0" w:space="0"/>
        <w:bottom w:val="none" w:color="auto" w:sz="0" w:space="0"/>
        <w:right w:val="none" w:color="auto" w:sz="0" w:space="0"/>
      </w:pBdr>
      <w:wordWrap w:val="0"/>
      <w:ind w:left="4788" w:leftChars="2280" w:firstLine="3600" w:firstLineChars="2000"/>
      <w:jc w:val="right"/>
      <w:rPr>
        <w:rFonts w:eastAsia="仿宋"/>
        <w:color w:val="FAFAFA"/>
        <w:sz w:val="32"/>
        <w:szCs w:val="4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eastAsia="仿宋"/>
        <w:color w:val="FAFAFA"/>
        <w:sz w:val="32"/>
        <w:szCs w:val="48"/>
      </w:rPr>
      <w:t>X</w:t>
    </w:r>
  </w:p>
  <w:p>
    <w:pPr>
      <w:pStyle w:val="6"/>
      <w:pBdr>
        <w:top w:val="none" w:color="auto" w:sz="0" w:space="0"/>
        <w:left w:val="none" w:color="auto" w:sz="0" w:space="0"/>
        <w:bottom w:val="none" w:color="auto" w:sz="0" w:space="0"/>
        <w:right w:val="none" w:color="auto" w:sz="0" w:space="0"/>
      </w:pBdr>
      <w:wordWrap w:val="0"/>
      <w:jc w:val="right"/>
      <w:rPr>
        <w:rFonts w:ascii="宋体" w:cs="宋体"/>
        <w:b/>
        <w:bCs/>
        <w:color w:val="005192"/>
        <w:sz w:val="32"/>
        <w:szCs w:val="32"/>
      </w:rPr>
    </w:pPr>
    <w:r>
      <w:rPr>
        <w:rFonts w:ascii="宋体" w:hAnsi="宋体" w:cs="宋体"/>
        <w:b/>
        <w:bCs/>
        <w:color w:val="005192"/>
        <w:sz w:val="32"/>
        <w:szCs w:val="32"/>
      </w:rPr>
      <w:t xml:space="preserve">     </w:t>
    </w:r>
  </w:p>
  <w:p>
    <w:pPr>
      <w:pStyle w:val="6"/>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textAlignment w:val="center"/>
      <w:rPr>
        <w:rFonts w:ascii="宋体" w:cs="宋体"/>
        <w:b/>
        <w:bCs/>
        <w:color w:val="005192"/>
        <w:sz w:val="32"/>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6"/>
      <w:pBdr>
        <w:top w:val="none" w:color="auto" w:sz="0" w:space="0"/>
        <w:left w:val="none" w:color="auto" w:sz="0" w:space="0"/>
        <w:bottom w:val="none" w:color="auto" w:sz="0" w:space="0"/>
        <w:right w:val="none" w:color="auto" w:sz="0" w:space="0"/>
      </w:pBdr>
      <w:textAlignment w:val="center"/>
      <w:rPr>
        <w:rFonts w:ascii="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formatting="1" w:enforcement="1" w:cryptProviderType="rsaFull" w:cryptAlgorithmClass="hash" w:cryptAlgorithmType="typeAny" w:cryptAlgorithmSid="4" w:cryptSpinCount="0" w:hash="eWcta/lNH80129DaRNYPo2JvUjU=" w:salt="mYZxqLTkiE4d355I46mKkA=="/>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jNkNzkwMjczZDJiOTY1NjhhMDI4OWE0ZTY5YzAifQ=="/>
  </w:docVars>
  <w:rsids>
    <w:rsidRoot w:val="008636E4"/>
    <w:rsid w:val="000A1219"/>
    <w:rsid w:val="00130564"/>
    <w:rsid w:val="00196055"/>
    <w:rsid w:val="001F5887"/>
    <w:rsid w:val="00225F52"/>
    <w:rsid w:val="00253574"/>
    <w:rsid w:val="00267D21"/>
    <w:rsid w:val="002C41DE"/>
    <w:rsid w:val="00346D3B"/>
    <w:rsid w:val="003C2F1C"/>
    <w:rsid w:val="003E31E9"/>
    <w:rsid w:val="004127A1"/>
    <w:rsid w:val="0047359C"/>
    <w:rsid w:val="004B290E"/>
    <w:rsid w:val="00523AEC"/>
    <w:rsid w:val="005A01CD"/>
    <w:rsid w:val="005B3913"/>
    <w:rsid w:val="00604169"/>
    <w:rsid w:val="00644E2F"/>
    <w:rsid w:val="00670077"/>
    <w:rsid w:val="007C1F5C"/>
    <w:rsid w:val="008636E4"/>
    <w:rsid w:val="008B2913"/>
    <w:rsid w:val="008F0FD5"/>
    <w:rsid w:val="00930F3A"/>
    <w:rsid w:val="00944F2D"/>
    <w:rsid w:val="00A04480"/>
    <w:rsid w:val="00A13528"/>
    <w:rsid w:val="00A21817"/>
    <w:rsid w:val="00A32194"/>
    <w:rsid w:val="00A921B2"/>
    <w:rsid w:val="00A9328F"/>
    <w:rsid w:val="00AE66A0"/>
    <w:rsid w:val="00B13A40"/>
    <w:rsid w:val="00B727A4"/>
    <w:rsid w:val="00D01A90"/>
    <w:rsid w:val="00D1420D"/>
    <w:rsid w:val="00D84615"/>
    <w:rsid w:val="00DA3360"/>
    <w:rsid w:val="00DA63F0"/>
    <w:rsid w:val="00E37FAE"/>
    <w:rsid w:val="00F02CE4"/>
    <w:rsid w:val="00F600A8"/>
    <w:rsid w:val="00F82BF8"/>
    <w:rsid w:val="016C4255"/>
    <w:rsid w:val="03ED083E"/>
    <w:rsid w:val="08844E22"/>
    <w:rsid w:val="08A532B7"/>
    <w:rsid w:val="097509D5"/>
    <w:rsid w:val="0C992E66"/>
    <w:rsid w:val="143D7442"/>
    <w:rsid w:val="164E13A5"/>
    <w:rsid w:val="179A2972"/>
    <w:rsid w:val="1A721FC1"/>
    <w:rsid w:val="1D582551"/>
    <w:rsid w:val="1D993054"/>
    <w:rsid w:val="2B7B736A"/>
    <w:rsid w:val="2EB722F2"/>
    <w:rsid w:val="2F515439"/>
    <w:rsid w:val="31BF5B60"/>
    <w:rsid w:val="33DA4C6A"/>
    <w:rsid w:val="354C48C0"/>
    <w:rsid w:val="36014753"/>
    <w:rsid w:val="37256EEF"/>
    <w:rsid w:val="3DA02AA0"/>
    <w:rsid w:val="3DE851AA"/>
    <w:rsid w:val="444A2B6A"/>
    <w:rsid w:val="490D40A6"/>
    <w:rsid w:val="4ACE4B79"/>
    <w:rsid w:val="4B667EAD"/>
    <w:rsid w:val="5B6608E2"/>
    <w:rsid w:val="638226B0"/>
    <w:rsid w:val="63FC166F"/>
    <w:rsid w:val="646C3234"/>
    <w:rsid w:val="6A7F327D"/>
    <w:rsid w:val="6BA02B23"/>
    <w:rsid w:val="6E594096"/>
    <w:rsid w:val="71E30A47"/>
    <w:rsid w:val="7286348A"/>
    <w:rsid w:val="75A54340"/>
    <w:rsid w:val="76BA3F27"/>
    <w:rsid w:val="7BC96F6D"/>
    <w:rsid w:val="7D1258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locked/>
    <w:uiPriority w:val="0"/>
    <w:pPr>
      <w:keepNext/>
      <w:keepLines/>
      <w:spacing w:before="260" w:after="260" w:line="415" w:lineRule="auto"/>
      <w:outlineLvl w:val="2"/>
    </w:pPr>
    <w:rPr>
      <w:b/>
      <w:bCs/>
      <w:sz w:val="32"/>
      <w:szCs w:val="32"/>
    </w:rPr>
  </w:style>
  <w:style w:type="character" w:default="1" w:styleId="10">
    <w:name w:val="Default Paragraph Font"/>
    <w:link w:val="11"/>
    <w:semiHidden/>
    <w:qFormat/>
    <w:uiPriority w:val="99"/>
    <w:rPr>
      <w:rFonts w:ascii="宋体" w:hAnsi="宋体" w:cs="Times New Roman"/>
      <w:b/>
      <w:sz w:val="28"/>
      <w:szCs w:val="28"/>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99"/>
    <w:pPr>
      <w:jc w:val="left"/>
    </w:p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w:basedOn w:val="1"/>
    <w:link w:val="10"/>
    <w:qFormat/>
    <w:uiPriority w:val="0"/>
    <w:pPr>
      <w:spacing w:line="360" w:lineRule="auto"/>
    </w:pPr>
    <w:rPr>
      <w:rFonts w:ascii="宋体" w:hAnsi="宋体" w:cs="Times New Roman"/>
      <w:b/>
      <w:sz w:val="28"/>
      <w:szCs w:val="28"/>
    </w:rPr>
  </w:style>
  <w:style w:type="character" w:styleId="12">
    <w:name w:val="Strong"/>
    <w:basedOn w:val="10"/>
    <w:qFormat/>
    <w:uiPriority w:val="99"/>
    <w:rPr>
      <w:rFonts w:cs="Times New Roman"/>
      <w:bCs/>
    </w:rPr>
  </w:style>
  <w:style w:type="character" w:styleId="13">
    <w:name w:val="page number"/>
    <w:basedOn w:val="10"/>
    <w:qFormat/>
    <w:locked/>
    <w:uiPriority w:val="0"/>
  </w:style>
  <w:style w:type="character" w:customStyle="1" w:styleId="14">
    <w:name w:val="Comment Text Char"/>
    <w:basedOn w:val="10"/>
    <w:link w:val="4"/>
    <w:semiHidden/>
    <w:qFormat/>
    <w:locked/>
    <w:uiPriority w:val="99"/>
    <w:rPr>
      <w:rFonts w:cs="Times New Roman"/>
      <w:sz w:val="24"/>
      <w:szCs w:val="24"/>
    </w:rPr>
  </w:style>
  <w:style w:type="character" w:customStyle="1" w:styleId="15">
    <w:name w:val="Footer Char"/>
    <w:basedOn w:val="10"/>
    <w:link w:val="5"/>
    <w:semiHidden/>
    <w:qFormat/>
    <w:locked/>
    <w:uiPriority w:val="99"/>
    <w:rPr>
      <w:rFonts w:cs="Times New Roman"/>
      <w:sz w:val="18"/>
      <w:szCs w:val="18"/>
    </w:rPr>
  </w:style>
  <w:style w:type="character" w:customStyle="1" w:styleId="16">
    <w:name w:val="Header Char"/>
    <w:basedOn w:val="10"/>
    <w:link w:val="6"/>
    <w:semiHidden/>
    <w:qFormat/>
    <w:locked/>
    <w:uiPriority w:val="99"/>
    <w:rPr>
      <w:rFonts w:cs="Times New Roman"/>
      <w:sz w:val="18"/>
      <w:szCs w:val="18"/>
    </w:rPr>
  </w:style>
  <w:style w:type="paragraph" w:customStyle="1" w:styleId="17">
    <w:name w:val="p0"/>
    <w:basedOn w:val="1"/>
    <w:qFormat/>
    <w:uiPriority w:val="99"/>
    <w:pPr>
      <w:widowControl/>
    </w:pPr>
    <w:rPr>
      <w:rFonts w:cs="宋体"/>
      <w:kern w:val="0"/>
      <w:szCs w:val="32"/>
    </w:rPr>
  </w:style>
  <w:style w:type="paragraph" w:customStyle="1" w:styleId="18">
    <w:name w:val="TableOfAuthoring"/>
    <w:basedOn w:val="1"/>
    <w:next w:val="1"/>
    <w:qFormat/>
    <w:uiPriority w:val="0"/>
    <w:pPr>
      <w:suppressAutoHyphens/>
      <w:ind w:left="420" w:leftChars="200"/>
      <w:textAlignment w:val="baseline"/>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2948</Words>
  <Characters>3066</Characters>
  <Lines>0</Lines>
  <Paragraphs>0</Paragraphs>
  <TotalTime>10</TotalTime>
  <ScaleCrop>false</ScaleCrop>
  <LinksUpToDate>false</LinksUpToDate>
  <CharactersWithSpaces>3302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2022-11-18T05:15:00Z</dcterms:created>
  <dc:creator>Administrator</dc:creator>
  <cp:lastModifiedBy>Administrator</cp:lastModifiedBy>
  <dcterms:modified xsi:type="dcterms:W3CDTF">2023-01-31T01:55:44Z</dcterms:modified>
  <dc:title>淮南市人民政府办公室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20B28673A5CE4E91AC11707C1D5D7462</vt:lpwstr>
  </property>
</Properties>
</file>