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90" w:lineRule="exact"/>
        <w:jc w:val="center"/>
        <w:textAlignment w:val="auto"/>
        <w:rPr>
          <w:rFonts w:hint="default" w:ascii="Times New Roman" w:hAnsi="Times New Roman" w:eastAsia="方正小标宋_GBK" w:cs="Times New Roman"/>
          <w:b w:val="0"/>
          <w:bCs w:val="0"/>
          <w:color w:val="333333"/>
          <w:sz w:val="44"/>
          <w:szCs w:val="44"/>
          <w:shd w:val="clear" w:color="auto" w:fill="FFFFFF"/>
        </w:rPr>
      </w:pPr>
    </w:p>
    <w:p>
      <w:pPr>
        <w:pStyle w:val="3"/>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90" w:lineRule="exact"/>
        <w:jc w:val="center"/>
        <w:textAlignment w:val="auto"/>
        <w:rPr>
          <w:rFonts w:hint="default" w:ascii="Times New Roman" w:hAnsi="Times New Roman" w:eastAsia="方正小标宋_GBK" w:cs="Times New Roman"/>
          <w:b w:val="0"/>
          <w:bCs w:val="0"/>
          <w:color w:val="333333"/>
          <w:sz w:val="44"/>
          <w:szCs w:val="44"/>
          <w:shd w:val="clear" w:color="auto" w:fill="FFFFFF"/>
        </w:rPr>
      </w:pPr>
      <w:r>
        <w:rPr>
          <w:rFonts w:hint="default" w:ascii="Times New Roman" w:hAnsi="Times New Roman" w:eastAsia="方正小标宋_GBK" w:cs="Times New Roman"/>
          <w:b w:val="0"/>
          <w:bCs w:val="0"/>
          <w:color w:val="333333"/>
          <w:sz w:val="44"/>
          <w:szCs w:val="44"/>
          <w:shd w:val="clear" w:color="auto" w:fill="FFFFFF"/>
        </w:rPr>
        <w:t>寿县招商投资促进中心</w:t>
      </w:r>
      <w:r>
        <w:rPr>
          <w:rFonts w:hint="default" w:ascii="Times New Roman" w:hAnsi="Times New Roman" w:eastAsia="方正小标宋_GBK" w:cs="Times New Roman"/>
          <w:b w:val="0"/>
          <w:bCs w:val="0"/>
          <w:color w:val="333333"/>
          <w:sz w:val="44"/>
          <w:szCs w:val="44"/>
          <w:shd w:val="clear" w:color="auto" w:fill="FFFFFF"/>
          <w:lang w:eastAsia="zh-CN"/>
        </w:rPr>
        <w:t>2022</w:t>
      </w:r>
      <w:r>
        <w:rPr>
          <w:rFonts w:hint="default" w:ascii="Times New Roman" w:hAnsi="Times New Roman" w:eastAsia="方正小标宋_GBK" w:cs="Times New Roman"/>
          <w:b w:val="0"/>
          <w:bCs w:val="0"/>
          <w:color w:val="333333"/>
          <w:sz w:val="44"/>
          <w:szCs w:val="44"/>
          <w:shd w:val="clear" w:color="auto" w:fill="FFFFFF"/>
        </w:rPr>
        <w:t>年政府信息</w:t>
      </w:r>
    </w:p>
    <w:p>
      <w:pPr>
        <w:pStyle w:val="3"/>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90" w:lineRule="exact"/>
        <w:jc w:val="center"/>
        <w:textAlignment w:val="auto"/>
        <w:rPr>
          <w:rFonts w:hint="default" w:ascii="Times New Roman" w:hAnsi="Times New Roman" w:eastAsia="方正小标宋_GBK" w:cs="Times New Roman"/>
          <w:b w:val="0"/>
          <w:bCs w:val="0"/>
          <w:color w:val="333333"/>
          <w:sz w:val="44"/>
          <w:szCs w:val="44"/>
          <w:shd w:val="clear" w:color="auto" w:fill="FFFFFF"/>
        </w:rPr>
      </w:pPr>
      <w:r>
        <w:rPr>
          <w:rFonts w:hint="default" w:ascii="Times New Roman" w:hAnsi="Times New Roman" w:eastAsia="方正小标宋_GBK" w:cs="Times New Roman"/>
          <w:b w:val="0"/>
          <w:bCs w:val="0"/>
          <w:color w:val="333333"/>
          <w:sz w:val="44"/>
          <w:szCs w:val="44"/>
          <w:shd w:val="clear" w:color="auto" w:fill="FFFFFF"/>
        </w:rPr>
        <w:t>公开</w:t>
      </w:r>
      <w:r>
        <w:rPr>
          <w:rFonts w:hint="default" w:ascii="Times New Roman" w:hAnsi="Times New Roman" w:eastAsia="方正小标宋_GBK" w:cs="Times New Roman"/>
          <w:b w:val="0"/>
          <w:bCs w:val="0"/>
          <w:color w:val="333333"/>
          <w:sz w:val="44"/>
          <w:szCs w:val="44"/>
          <w:shd w:val="clear" w:color="auto" w:fill="FFFFFF"/>
          <w:lang w:eastAsia="zh-CN"/>
        </w:rPr>
        <w:t>工作</w:t>
      </w:r>
      <w:r>
        <w:rPr>
          <w:rFonts w:hint="default" w:ascii="Times New Roman" w:hAnsi="Times New Roman" w:eastAsia="方正小标宋_GBK" w:cs="Times New Roman"/>
          <w:b w:val="0"/>
          <w:bCs w:val="0"/>
          <w:color w:val="333333"/>
          <w:sz w:val="44"/>
          <w:szCs w:val="44"/>
          <w:shd w:val="clear" w:color="auto" w:fill="FFFFFF"/>
        </w:rPr>
        <w:t>年度报告</w:t>
      </w:r>
    </w:p>
    <w:p>
      <w:pPr>
        <w:pStyle w:val="7"/>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90" w:lineRule="exact"/>
        <w:ind w:firstLine="640"/>
        <w:jc w:val="both"/>
        <w:textAlignment w:val="auto"/>
        <w:rPr>
          <w:rFonts w:hint="default" w:ascii="Times New Roman" w:hAnsi="Times New Roman" w:eastAsia="方正仿宋_GBK" w:cs="Times New Roman"/>
          <w:color w:val="333333"/>
          <w:sz w:val="32"/>
          <w:szCs w:val="32"/>
          <w:shd w:val="clear" w:color="auto" w:fill="FFFFFF"/>
        </w:rPr>
      </w:pPr>
    </w:p>
    <w:p>
      <w:pPr>
        <w:pStyle w:val="7"/>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90" w:lineRule="exact"/>
        <w:ind w:firstLine="640" w:firstLineChars="200"/>
        <w:textAlignment w:val="auto"/>
        <w:rPr>
          <w:rFonts w:hint="default" w:ascii="Times New Roman" w:hAnsi="Times New Roman" w:eastAsia="方正仿宋_GBK" w:cs="Times New Roman"/>
          <w:color w:val="333333"/>
          <w:sz w:val="32"/>
          <w:szCs w:val="32"/>
          <w:shd w:val="clear" w:color="auto" w:fill="FFFFFF"/>
        </w:rPr>
      </w:pPr>
      <w:r>
        <w:rPr>
          <w:rFonts w:hint="default" w:ascii="Times New Roman" w:hAnsi="Times New Roman" w:eastAsia="方正仿宋_GBK" w:cs="Times New Roman"/>
          <w:color w:val="333333"/>
          <w:sz w:val="32"/>
          <w:szCs w:val="32"/>
          <w:shd w:val="clear" w:color="auto" w:fill="FFFFFF"/>
          <w:lang w:eastAsia="zh-CN"/>
        </w:rPr>
        <w:t>2022</w:t>
      </w:r>
      <w:r>
        <w:rPr>
          <w:rFonts w:hint="default" w:ascii="Times New Roman" w:hAnsi="Times New Roman" w:eastAsia="方正仿宋_GBK" w:cs="Times New Roman"/>
          <w:color w:val="333333"/>
          <w:sz w:val="32"/>
          <w:szCs w:val="32"/>
          <w:shd w:val="clear" w:color="auto" w:fill="FFFFFF"/>
        </w:rPr>
        <w:t>年,寿县招商投资促进中心依据《中华人民共和国政府信息公开条例》（国务院令第711号，以下简称《条例》）、《国务院办公厅政府信息与政务公开</w:t>
      </w:r>
      <w:bookmarkStart w:id="0" w:name="_GoBack"/>
      <w:r>
        <w:rPr>
          <w:rFonts w:hint="default" w:ascii="Times New Roman" w:hAnsi="Times New Roman" w:eastAsia="方正仿宋_GBK" w:cs="Times New Roman"/>
          <w:color w:val="333333"/>
          <w:sz w:val="32"/>
          <w:szCs w:val="32"/>
          <w:shd w:val="clear" w:color="auto" w:fill="FFFFFF"/>
        </w:rPr>
        <w:t>办公室关于印发&lt;中华人民共和国政府信息公开工作年度报告格式&gt;的通知》（国办公开办函〔2021〕30号）及《安徽省政务公开办公室关于做好2022年度政府信息公开工作年度报告编制和数据报送工作的</w:t>
      </w:r>
      <w:bookmarkEnd w:id="0"/>
      <w:r>
        <w:rPr>
          <w:rFonts w:hint="default" w:ascii="Times New Roman" w:hAnsi="Times New Roman" w:eastAsia="方正仿宋_GBK" w:cs="Times New Roman"/>
          <w:color w:val="333333"/>
          <w:sz w:val="32"/>
          <w:szCs w:val="32"/>
          <w:shd w:val="clear" w:color="auto" w:fill="FFFFFF"/>
        </w:rPr>
        <w:t>通知》（皖政务办秘〔2023〕1号）要求，结合我单位政府信息公开工作有关统计数据撰写。报告主要包括：总体情况、主动公开政府信息情况、收到和处理政府信息公开申请情况、因政府信息公开被申请行政复议和提起行政诉讼情况、政府信息公开工作存在主要问题及改进情况和其他需要报告事项。本报告中使用数据统计期限为</w:t>
      </w:r>
      <w:r>
        <w:rPr>
          <w:rFonts w:hint="default" w:ascii="Times New Roman" w:hAnsi="Times New Roman" w:eastAsia="方正仿宋_GBK" w:cs="Times New Roman"/>
          <w:color w:val="333333"/>
          <w:sz w:val="32"/>
          <w:szCs w:val="32"/>
          <w:shd w:val="clear" w:color="auto" w:fill="FFFFFF"/>
          <w:lang w:eastAsia="zh-CN"/>
        </w:rPr>
        <w:t>2022</w:t>
      </w:r>
      <w:r>
        <w:rPr>
          <w:rFonts w:hint="default" w:ascii="Times New Roman" w:hAnsi="Times New Roman" w:eastAsia="方正仿宋_GBK" w:cs="Times New Roman"/>
          <w:color w:val="333333"/>
          <w:sz w:val="32"/>
          <w:szCs w:val="32"/>
          <w:shd w:val="clear" w:color="auto" w:fill="FFFFFF"/>
        </w:rPr>
        <w:t>年1月1日至12月31日。报告的电子版可在淮南市人民政府网站下载（http://www.huainan.gov.cn/）。如对本报告有任何疑问，请与寿县招商投资促进中心政务公开办公室联系（地址：寿县国投大厦505室，电话：0554-4036161，邮编：232202。</w:t>
      </w:r>
    </w:p>
    <w:p>
      <w:pPr>
        <w:pStyle w:val="7"/>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90" w:lineRule="exact"/>
        <w:ind w:firstLine="640" w:firstLineChars="200"/>
        <w:textAlignment w:val="auto"/>
        <w:rPr>
          <w:rFonts w:hint="eastAsia" w:ascii="方正黑体_GBK" w:hAnsi="方正黑体_GBK" w:eastAsia="方正黑体_GBK" w:cs="方正黑体_GBK"/>
          <w:b w:val="0"/>
          <w:bCs w:val="0"/>
          <w:color w:val="333333"/>
          <w:sz w:val="32"/>
          <w:szCs w:val="32"/>
        </w:rPr>
      </w:pPr>
      <w:r>
        <w:rPr>
          <w:rFonts w:hint="eastAsia" w:ascii="方正黑体_GBK" w:hAnsi="方正黑体_GBK" w:eastAsia="方正黑体_GBK" w:cs="方正黑体_GBK"/>
          <w:b w:val="0"/>
          <w:bCs w:val="0"/>
          <w:color w:val="333333"/>
          <w:sz w:val="32"/>
          <w:szCs w:val="32"/>
          <w:shd w:val="clear" w:color="auto" w:fill="FFFFFF"/>
        </w:rPr>
        <w:t>一、 总体情况</w:t>
      </w:r>
    </w:p>
    <w:p>
      <w:pPr>
        <w:pStyle w:val="7"/>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90" w:lineRule="exact"/>
        <w:ind w:firstLine="640" w:firstLineChars="200"/>
        <w:textAlignment w:val="auto"/>
        <w:rPr>
          <w:rFonts w:hint="default" w:ascii="Times New Roman" w:hAnsi="Times New Roman" w:eastAsia="方正仿宋_GBK" w:cs="Times New Roman"/>
          <w:color w:val="333333"/>
          <w:sz w:val="32"/>
          <w:szCs w:val="32"/>
          <w:shd w:val="clear" w:color="auto" w:fill="FFFFFF"/>
        </w:rPr>
      </w:pPr>
      <w:r>
        <w:rPr>
          <w:rFonts w:hint="default" w:ascii="Times New Roman" w:hAnsi="Times New Roman" w:eastAsia="方正仿宋_GBK" w:cs="Times New Roman"/>
          <w:color w:val="333333"/>
          <w:sz w:val="32"/>
          <w:szCs w:val="32"/>
          <w:shd w:val="clear" w:color="auto" w:fill="FFFFFF"/>
          <w:lang w:eastAsia="zh-CN"/>
        </w:rPr>
        <w:t>2022</w:t>
      </w:r>
      <w:r>
        <w:rPr>
          <w:rFonts w:hint="default" w:ascii="Times New Roman" w:hAnsi="Times New Roman" w:eastAsia="方正仿宋_GBK" w:cs="Times New Roman"/>
          <w:color w:val="333333"/>
          <w:sz w:val="32"/>
          <w:szCs w:val="32"/>
          <w:shd w:val="clear" w:color="auto" w:fill="FFFFFF"/>
        </w:rPr>
        <w:t>年，我中心认真贯彻落实《中华人民共和国政府信息公开条例》，按照《淮南市人民政府办公室</w:t>
      </w:r>
      <w:r>
        <w:rPr>
          <w:rFonts w:hint="default" w:ascii="Times New Roman" w:hAnsi="Times New Roman" w:eastAsia="方正仿宋_GBK" w:cs="Times New Roman"/>
          <w:color w:val="333333"/>
          <w:sz w:val="32"/>
          <w:szCs w:val="32"/>
          <w:shd w:val="clear" w:color="auto" w:fill="FFFFFF"/>
          <w:lang w:eastAsia="zh-CN"/>
        </w:rPr>
        <w:t>2022</w:t>
      </w:r>
      <w:r>
        <w:rPr>
          <w:rFonts w:hint="default" w:ascii="Times New Roman" w:hAnsi="Times New Roman" w:eastAsia="方正仿宋_GBK" w:cs="Times New Roman"/>
          <w:color w:val="333333"/>
          <w:sz w:val="32"/>
          <w:szCs w:val="32"/>
          <w:shd w:val="clear" w:color="auto" w:fill="FFFFFF"/>
        </w:rPr>
        <w:t>年政务公开重点工作任务分工》要求开展工作，我中心政府信息公开工作坚持以依法行政、提高效能，建设服务型政府部门为目标，对测评中发现的问题及时整改。</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textAlignment w:val="auto"/>
        <w:rPr>
          <w:rFonts w:hint="eastAsia" w:ascii="方正楷体_GBK" w:hAnsi="方正楷体_GBK" w:eastAsia="方正楷体_GBK" w:cs="方正楷体_GBK"/>
          <w:b w:val="0"/>
          <w:bCs w:val="0"/>
          <w:color w:val="333333"/>
          <w:sz w:val="32"/>
          <w:szCs w:val="32"/>
          <w:shd w:val="clear" w:color="auto" w:fill="FFFFFF"/>
        </w:rPr>
      </w:pPr>
      <w:r>
        <w:rPr>
          <w:rFonts w:hint="eastAsia" w:ascii="方正楷体_GBK" w:hAnsi="方正楷体_GBK" w:eastAsia="方正楷体_GBK" w:cs="方正楷体_GBK"/>
          <w:b w:val="0"/>
          <w:bCs w:val="0"/>
          <w:color w:val="333333"/>
          <w:sz w:val="32"/>
          <w:szCs w:val="32"/>
          <w:shd w:val="clear" w:color="auto" w:fill="FFFFFF"/>
        </w:rPr>
        <w:t>（一）主动公开政府信息情况</w:t>
      </w:r>
    </w:p>
    <w:p>
      <w:pPr>
        <w:pStyle w:val="7"/>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90" w:lineRule="exact"/>
        <w:ind w:firstLine="643"/>
        <w:textAlignment w:val="auto"/>
        <w:rPr>
          <w:rFonts w:hint="default" w:ascii="Times New Roman" w:hAnsi="Times New Roman" w:eastAsia="方正仿宋_GBK" w:cs="Times New Roman"/>
          <w:color w:val="333333"/>
          <w:sz w:val="32"/>
          <w:szCs w:val="32"/>
          <w:shd w:val="clear" w:color="auto" w:fill="FFFFFF"/>
        </w:rPr>
      </w:pPr>
      <w:r>
        <w:rPr>
          <w:rFonts w:hint="default" w:ascii="Times New Roman" w:hAnsi="Times New Roman" w:eastAsia="方正仿宋_GBK" w:cs="Times New Roman"/>
          <w:color w:val="333333"/>
          <w:sz w:val="32"/>
          <w:szCs w:val="32"/>
          <w:shd w:val="clear" w:color="auto" w:fill="FFFFFF"/>
        </w:rPr>
        <w:t>我中心按照政府信息公开的相关要求，</w:t>
      </w:r>
      <w:r>
        <w:rPr>
          <w:rFonts w:hint="default" w:ascii="Times New Roman" w:hAnsi="Times New Roman" w:eastAsia="方正仿宋_GBK" w:cs="Times New Roman"/>
          <w:color w:val="333333"/>
          <w:sz w:val="32"/>
          <w:szCs w:val="32"/>
          <w:shd w:val="clear" w:color="auto" w:fill="FFFFFF"/>
          <w:lang w:eastAsia="zh-CN"/>
        </w:rPr>
        <w:t>2022</w:t>
      </w:r>
      <w:r>
        <w:rPr>
          <w:rFonts w:hint="default" w:ascii="Times New Roman" w:hAnsi="Times New Roman" w:eastAsia="方正仿宋_GBK" w:cs="Times New Roman"/>
          <w:color w:val="333333"/>
          <w:sz w:val="32"/>
          <w:szCs w:val="32"/>
          <w:shd w:val="clear" w:color="auto" w:fill="FFFFFF"/>
        </w:rPr>
        <w:t>年累计公开政府信息</w:t>
      </w:r>
      <w:r>
        <w:rPr>
          <w:rFonts w:hint="default" w:ascii="Times New Roman" w:hAnsi="Times New Roman" w:eastAsia="方正仿宋_GBK" w:cs="Times New Roman"/>
          <w:color w:val="333333"/>
          <w:sz w:val="32"/>
          <w:szCs w:val="32"/>
          <w:highlight w:val="none"/>
          <w:shd w:val="clear" w:color="auto" w:fill="FFFFFF"/>
          <w:lang w:val="en-US" w:eastAsia="zh-CN"/>
        </w:rPr>
        <w:t>98</w:t>
      </w:r>
      <w:r>
        <w:rPr>
          <w:rFonts w:hint="default" w:ascii="Times New Roman" w:hAnsi="Times New Roman" w:eastAsia="方正仿宋_GBK" w:cs="Times New Roman"/>
          <w:color w:val="333333"/>
          <w:sz w:val="32"/>
          <w:szCs w:val="32"/>
          <w:shd w:val="clear" w:color="auto" w:fill="FFFFFF"/>
        </w:rPr>
        <w:t>条，月均</w:t>
      </w:r>
      <w:r>
        <w:rPr>
          <w:rFonts w:hint="default" w:ascii="Times New Roman" w:hAnsi="Times New Roman" w:eastAsia="方正仿宋_GBK" w:cs="Times New Roman"/>
          <w:color w:val="333333"/>
          <w:sz w:val="32"/>
          <w:szCs w:val="32"/>
          <w:highlight w:val="none"/>
          <w:shd w:val="clear" w:color="auto" w:fill="FFFFFF"/>
          <w:lang w:val="en-US" w:eastAsia="zh-CN"/>
        </w:rPr>
        <w:t>8</w:t>
      </w:r>
      <w:r>
        <w:rPr>
          <w:rFonts w:hint="default" w:ascii="Times New Roman" w:hAnsi="Times New Roman" w:eastAsia="方正仿宋_GBK" w:cs="Times New Roman"/>
          <w:color w:val="333333"/>
          <w:sz w:val="32"/>
          <w:szCs w:val="32"/>
          <w:shd w:val="clear" w:color="auto" w:fill="FFFFFF"/>
        </w:rPr>
        <w:t>条，其中涉及本机关职责范围、领导活动、内设机构、人事信息、政策法规、政策解读、规划计划、行政权力运行、招标采购、精准扶贫、预警信息、项目管理、监督保障、财政预决算等依法应当公开的其他信息。</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textAlignment w:val="auto"/>
        <w:rPr>
          <w:rFonts w:hint="default" w:ascii="方正楷体_GBK" w:hAnsi="方正楷体_GBK" w:eastAsia="方正楷体_GBK" w:cs="方正楷体_GBK"/>
          <w:b w:val="0"/>
          <w:bCs w:val="0"/>
          <w:color w:val="333333"/>
          <w:sz w:val="32"/>
          <w:szCs w:val="32"/>
          <w:shd w:val="clear" w:color="auto" w:fill="FFFFFF"/>
        </w:rPr>
      </w:pPr>
      <w:r>
        <w:rPr>
          <w:rFonts w:hint="default" w:ascii="方正楷体_GBK" w:hAnsi="方正楷体_GBK" w:eastAsia="方正楷体_GBK" w:cs="方正楷体_GBK"/>
          <w:b w:val="0"/>
          <w:bCs w:val="0"/>
          <w:color w:val="333333"/>
          <w:sz w:val="32"/>
          <w:szCs w:val="32"/>
          <w:shd w:val="clear" w:color="auto" w:fill="FFFFFF"/>
        </w:rPr>
        <w:t>（二）依申请公开政府信息情况</w:t>
      </w:r>
    </w:p>
    <w:p>
      <w:pPr>
        <w:pStyle w:val="7"/>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90" w:lineRule="exact"/>
        <w:ind w:firstLine="420"/>
        <w:textAlignment w:val="auto"/>
        <w:rPr>
          <w:rFonts w:hint="default" w:ascii="Times New Roman" w:hAnsi="Times New Roman" w:eastAsia="方正仿宋_GBK" w:cs="Times New Roman"/>
          <w:color w:val="3D3D3D"/>
          <w:sz w:val="32"/>
          <w:szCs w:val="32"/>
          <w:shd w:val="clear" w:color="auto" w:fill="FFFFFF"/>
        </w:rPr>
      </w:pPr>
      <w:r>
        <w:rPr>
          <w:rFonts w:hint="default" w:ascii="Times New Roman" w:hAnsi="Times New Roman" w:eastAsia="方正仿宋_GBK" w:cs="Times New Roman"/>
          <w:color w:val="3D3D3D"/>
          <w:sz w:val="32"/>
          <w:szCs w:val="32"/>
          <w:shd w:val="clear" w:color="auto" w:fill="FFFFFF"/>
        </w:rPr>
        <w:t>我中心</w:t>
      </w:r>
      <w:r>
        <w:rPr>
          <w:rFonts w:hint="default" w:ascii="Times New Roman" w:hAnsi="Times New Roman" w:eastAsia="方正仿宋_GBK" w:cs="Times New Roman"/>
          <w:color w:val="333333"/>
          <w:sz w:val="32"/>
          <w:szCs w:val="32"/>
          <w:shd w:val="clear" w:color="auto" w:fill="FFFFFF"/>
          <w:lang w:eastAsia="zh-CN"/>
        </w:rPr>
        <w:t>2022</w:t>
      </w:r>
      <w:r>
        <w:rPr>
          <w:rFonts w:hint="default" w:ascii="Times New Roman" w:hAnsi="Times New Roman" w:eastAsia="方正仿宋_GBK" w:cs="Times New Roman"/>
          <w:color w:val="333333"/>
          <w:sz w:val="32"/>
          <w:szCs w:val="32"/>
          <w:shd w:val="clear" w:color="auto" w:fill="FFFFFF"/>
        </w:rPr>
        <w:t>年本单位未收到依申请公开申请，未涉及依申请公开收费和因政府信息公开被申请行政复议、提起行政诉讼情况。</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textAlignment w:val="auto"/>
        <w:rPr>
          <w:rFonts w:hint="default" w:ascii="方正楷体_GBK" w:hAnsi="方正楷体_GBK" w:eastAsia="方正楷体_GBK" w:cs="方正楷体_GBK"/>
          <w:b w:val="0"/>
          <w:bCs w:val="0"/>
          <w:color w:val="333333"/>
          <w:sz w:val="32"/>
          <w:szCs w:val="32"/>
          <w:shd w:val="clear" w:color="auto" w:fill="FFFFFF"/>
        </w:rPr>
      </w:pPr>
      <w:r>
        <w:rPr>
          <w:rFonts w:hint="default" w:ascii="方正楷体_GBK" w:hAnsi="方正楷体_GBK" w:eastAsia="方正楷体_GBK" w:cs="方正楷体_GBK"/>
          <w:b w:val="0"/>
          <w:bCs w:val="0"/>
          <w:color w:val="333333"/>
          <w:sz w:val="32"/>
          <w:szCs w:val="32"/>
          <w:shd w:val="clear" w:color="auto" w:fill="FFFFFF"/>
        </w:rPr>
        <w:t>（三）政府信息管理情况</w:t>
      </w:r>
    </w:p>
    <w:p>
      <w:pPr>
        <w:pStyle w:val="7"/>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一</w:t>
      </w:r>
      <w:r>
        <w:rPr>
          <w:rFonts w:hint="default" w:ascii="Times New Roman" w:hAnsi="Times New Roman" w:eastAsia="方正仿宋_GBK" w:cs="Times New Roman"/>
          <w:sz w:val="32"/>
          <w:szCs w:val="32"/>
        </w:rPr>
        <w:t>是明确分管领导及具体责任人。同时，明确一位同志为单位信息员，</w:t>
      </w:r>
      <w:r>
        <w:rPr>
          <w:rFonts w:hint="default" w:ascii="Times New Roman" w:hAnsi="Times New Roman" w:eastAsia="方正仿宋_GBK" w:cs="Times New Roman"/>
          <w:color w:val="333333"/>
          <w:sz w:val="32"/>
          <w:szCs w:val="32"/>
          <w:shd w:val="clear" w:color="auto" w:fill="FFFFFF"/>
        </w:rPr>
        <w:t>贯彻落实“谁发布谁负责”、“涉密不上网，上网不涉密”的工作原则。二是严格公开程序，信息发布后由审核人员进行审核，确保信息发布的正确性同时也保证涉密信息不予公布。三是做好入侵防护工作，从技术方面保障政府网站稳定安全运行</w:t>
      </w:r>
      <w:r>
        <w:rPr>
          <w:rFonts w:hint="default" w:ascii="Times New Roman" w:hAnsi="Times New Roman" w:eastAsia="方正仿宋_GBK" w:cs="Times New Roman"/>
          <w:sz w:val="32"/>
          <w:szCs w:val="32"/>
        </w:rPr>
        <w:t>，具体负责政府信息公开内容维护、组织协调等日常工作。明确要求各类公开信息需经过分管领导审核后统一途径报送，确保工作落实到位，信息公开及时、便捷。以服务群众和企业为目的，进一步加强政府信息公开通过多种渠道进行宣传，以提高群众对政府信息公开的知晓率和参与度。</w:t>
      </w:r>
    </w:p>
    <w:p>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lang w:eastAsia="zh-CN"/>
        </w:rPr>
        <w:t>（四）</w:t>
      </w:r>
      <w:r>
        <w:rPr>
          <w:rFonts w:hint="eastAsia" w:ascii="方正楷体_GBK" w:hAnsi="方正楷体_GBK" w:eastAsia="方正楷体_GBK" w:cs="方正楷体_GBK"/>
          <w:b w:val="0"/>
          <w:bCs w:val="0"/>
          <w:sz w:val="32"/>
          <w:szCs w:val="32"/>
        </w:rPr>
        <w:t>平台建设情况</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rPr>
          <w:rFonts w:hint="default" w:ascii="Times New Roman" w:hAnsi="Times New Roman" w:eastAsia="方正仿宋_GBK" w:cs="Times New Roman"/>
          <w:color w:val="333333"/>
          <w:sz w:val="32"/>
          <w:szCs w:val="32"/>
          <w:shd w:val="clear" w:color="auto" w:fill="FFFFFF"/>
        </w:rPr>
      </w:pPr>
      <w:r>
        <w:rPr>
          <w:rFonts w:hint="default" w:ascii="Times New Roman" w:hAnsi="Times New Roman" w:eastAsia="方正仿宋_GBK" w:cs="Times New Roman"/>
          <w:color w:val="333333"/>
          <w:sz w:val="32"/>
          <w:szCs w:val="32"/>
          <w:shd w:val="clear" w:color="auto" w:fill="FFFFFF"/>
        </w:rPr>
        <w:t>使用统一淮南市政府网站集约化平台，按照县政务公开办公室统一开设并调整单位主动公开目录，我中心按照目录公布相关信息并规范内容。及时升级信息公开平台功能，调整公开目录，优化展现方式，丰富公开内容，我单位按照目录公布相关信息并规范内容，共设置</w:t>
      </w:r>
      <w:r>
        <w:rPr>
          <w:rFonts w:hint="default" w:ascii="Times New Roman" w:hAnsi="Times New Roman" w:eastAsia="方正仿宋_GBK" w:cs="Times New Roman"/>
          <w:color w:val="333333"/>
          <w:sz w:val="32"/>
          <w:szCs w:val="32"/>
          <w:highlight w:val="none"/>
          <w:shd w:val="clear" w:color="auto" w:fill="FFFFFF"/>
        </w:rPr>
        <w:t>18</w:t>
      </w:r>
      <w:r>
        <w:rPr>
          <w:rFonts w:hint="default" w:ascii="Times New Roman" w:hAnsi="Times New Roman" w:eastAsia="方正仿宋_GBK" w:cs="Times New Roman"/>
          <w:color w:val="333333"/>
          <w:sz w:val="32"/>
          <w:szCs w:val="32"/>
          <w:shd w:val="clear" w:color="auto" w:fill="FFFFFF"/>
        </w:rPr>
        <w:t>个一级目录、</w:t>
      </w:r>
      <w:r>
        <w:rPr>
          <w:rFonts w:hint="default" w:ascii="Times New Roman" w:hAnsi="Times New Roman" w:eastAsia="方正仿宋_GBK" w:cs="Times New Roman"/>
          <w:color w:val="333333"/>
          <w:sz w:val="32"/>
          <w:szCs w:val="32"/>
          <w:highlight w:val="none"/>
          <w:shd w:val="clear" w:color="auto" w:fill="FFFFFF"/>
        </w:rPr>
        <w:t>32</w:t>
      </w:r>
      <w:r>
        <w:rPr>
          <w:rFonts w:hint="default" w:ascii="Times New Roman" w:hAnsi="Times New Roman" w:eastAsia="方正仿宋_GBK" w:cs="Times New Roman"/>
          <w:color w:val="333333"/>
          <w:sz w:val="32"/>
          <w:szCs w:val="32"/>
          <w:shd w:val="clear" w:color="auto" w:fill="FFFFFF"/>
        </w:rPr>
        <w:t>个二级目录。</w:t>
      </w:r>
    </w:p>
    <w:p>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lang w:eastAsia="zh-CN"/>
        </w:rPr>
        <w:t>（五）</w:t>
      </w:r>
      <w:r>
        <w:rPr>
          <w:rFonts w:hint="eastAsia" w:ascii="方正楷体_GBK" w:hAnsi="方正楷体_GBK" w:eastAsia="方正楷体_GBK" w:cs="方正楷体_GBK"/>
          <w:b w:val="0"/>
          <w:bCs w:val="0"/>
          <w:sz w:val="32"/>
          <w:szCs w:val="32"/>
        </w:rPr>
        <w:t>监督保障情况</w:t>
      </w:r>
      <w:r>
        <w:rPr>
          <w:rFonts w:hint="eastAsia" w:ascii="方正楷体_GBK" w:hAnsi="方正楷体_GBK" w:eastAsia="方正楷体_GBK" w:cs="方正楷体_GBK"/>
          <w:b w:val="0"/>
          <w:bCs w:val="0"/>
          <w:sz w:val="32"/>
          <w:szCs w:val="32"/>
          <w:lang w:val="en-US" w:eastAsia="zh-CN"/>
        </w:rPr>
        <w:t xml:space="preserve"> </w:t>
      </w:r>
    </w:p>
    <w:p>
      <w:pPr>
        <w:pStyle w:val="7"/>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90" w:lineRule="exact"/>
        <w:ind w:firstLine="640" w:firstLineChars="200"/>
        <w:jc w:val="both"/>
        <w:textAlignment w:val="auto"/>
        <w:rPr>
          <w:rFonts w:hint="default" w:ascii="Times New Roman" w:hAnsi="Times New Roman" w:eastAsia="方正仿宋_GBK" w:cs="Times New Roman"/>
          <w:color w:val="333333"/>
          <w:sz w:val="32"/>
          <w:szCs w:val="32"/>
          <w:shd w:val="clear" w:color="auto" w:fill="FFFFFF"/>
        </w:rPr>
      </w:pPr>
      <w:r>
        <w:rPr>
          <w:rFonts w:hint="default" w:ascii="Times New Roman" w:hAnsi="Times New Roman" w:eastAsia="方正仿宋_GBK" w:cs="Times New Roman"/>
          <w:i w:val="0"/>
          <w:iCs w:val="0"/>
          <w:caps w:val="0"/>
          <w:color w:val="333333"/>
          <w:spacing w:val="0"/>
          <w:sz w:val="32"/>
          <w:szCs w:val="32"/>
          <w:shd w:val="clear" w:fill="FFFFFF"/>
        </w:rPr>
        <w:t>为提升我单位的政务信息公开工作，2022年我们把学习政务公开的理论和业务知识放在重要位置，全年组织学习业务知识开展了</w:t>
      </w:r>
      <w:r>
        <w:rPr>
          <w:rFonts w:hint="default" w:ascii="Times New Roman" w:hAnsi="Times New Roman" w:eastAsia="方正仿宋_GBK" w:cs="Times New Roman"/>
          <w:i w:val="0"/>
          <w:iCs w:val="0"/>
          <w:caps w:val="0"/>
          <w:color w:val="333333"/>
          <w:spacing w:val="0"/>
          <w:sz w:val="32"/>
          <w:szCs w:val="32"/>
          <w:shd w:val="clear" w:fill="FFFFFF"/>
          <w:lang w:eastAsia="zh-CN"/>
        </w:rPr>
        <w:t>两</w:t>
      </w:r>
      <w:r>
        <w:rPr>
          <w:rFonts w:hint="default" w:ascii="Times New Roman" w:hAnsi="Times New Roman" w:eastAsia="方正仿宋_GBK" w:cs="Times New Roman"/>
          <w:i w:val="0"/>
          <w:iCs w:val="0"/>
          <w:caps w:val="0"/>
          <w:color w:val="333333"/>
          <w:spacing w:val="0"/>
          <w:sz w:val="32"/>
          <w:szCs w:val="32"/>
          <w:shd w:val="clear" w:fill="FFFFFF"/>
        </w:rPr>
        <w:t>次，提高了政务公开人员的理论和业务素质，由于参与政务公开业务的人员整体素质的提升，给全单位的政府信息公开工作打下的基础，使得全单位的政务公开业务取得了长足进步。三次第三方测评后的整改，我们都及时召开整改会议，传达县会议精神，把整改任务分解到具体的单位和人，并要求按时按量的完成。年底我们认真做好政务公开年度自查自评、做好年度总结、认真撰写年度报告。社会评议良好，无产生责任追究结果。</w:t>
      </w:r>
    </w:p>
    <w:p>
      <w:pPr>
        <w:pStyle w:val="7"/>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90" w:lineRule="exact"/>
        <w:ind w:firstLine="640" w:firstLineChars="200"/>
        <w:textAlignment w:val="auto"/>
        <w:rPr>
          <w:rFonts w:hint="default" w:ascii="方正黑体_GBK" w:hAnsi="方正黑体_GBK" w:eastAsia="方正黑体_GBK" w:cs="方正黑体_GBK"/>
          <w:b w:val="0"/>
          <w:bCs w:val="0"/>
          <w:color w:val="333333"/>
          <w:sz w:val="32"/>
          <w:szCs w:val="32"/>
          <w:shd w:val="clear" w:color="auto" w:fill="FFFFFF"/>
        </w:rPr>
      </w:pPr>
      <w:r>
        <w:rPr>
          <w:rFonts w:hint="default" w:ascii="方正黑体_GBK" w:hAnsi="方正黑体_GBK" w:eastAsia="方正黑体_GBK" w:cs="方正黑体_GBK"/>
          <w:b w:val="0"/>
          <w:bCs w:val="0"/>
          <w:color w:val="333333"/>
          <w:sz w:val="32"/>
          <w:szCs w:val="32"/>
          <w:shd w:val="clear" w:color="auto" w:fill="FFFFFF"/>
        </w:rPr>
        <w:t>二、主动公开政府信息情况</w:t>
      </w:r>
    </w:p>
    <w:tbl>
      <w:tblPr>
        <w:tblStyle w:val="8"/>
        <w:tblW w:w="8100" w:type="dxa"/>
        <w:jc w:val="center"/>
        <w:shd w:val="clear" w:color="auto" w:fill="FFFFFF"/>
        <w:tblLayout w:type="autofit"/>
        <w:tblCellMar>
          <w:top w:w="0" w:type="dxa"/>
          <w:left w:w="0" w:type="dxa"/>
          <w:bottom w:w="0" w:type="dxa"/>
          <w:right w:w="0" w:type="dxa"/>
        </w:tblCellMar>
      </w:tblPr>
      <w:tblGrid>
        <w:gridCol w:w="2025"/>
        <w:gridCol w:w="2025"/>
        <w:gridCol w:w="2025"/>
        <w:gridCol w:w="2025"/>
      </w:tblGrid>
      <w:tr>
        <w:tblPrEx>
          <w:shd w:val="clear" w:color="auto" w:fill="FFFFFF"/>
          <w:tblCellMar>
            <w:top w:w="0" w:type="dxa"/>
            <w:left w:w="0" w:type="dxa"/>
            <w:bottom w:w="0" w:type="dxa"/>
            <w:right w:w="0" w:type="dxa"/>
          </w:tblCellMar>
        </w:tblPrEx>
        <w:trPr>
          <w:trHeight w:val="377" w:hRule="atLeast"/>
          <w:jc w:val="center"/>
        </w:trPr>
        <w:tc>
          <w:tcPr>
            <w:tcW w:w="810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color w:val="000000"/>
                <w:sz w:val="28"/>
                <w:szCs w:val="28"/>
              </w:rPr>
              <w:t>第二十条第（一）项</w:t>
            </w:r>
          </w:p>
        </w:tc>
      </w:tr>
      <w:tr>
        <w:tblPrEx>
          <w:shd w:val="clear" w:color="auto" w:fill="FFFFFF"/>
          <w:tblCellMar>
            <w:top w:w="0" w:type="dxa"/>
            <w:left w:w="0" w:type="dxa"/>
            <w:bottom w:w="0" w:type="dxa"/>
            <w:right w:w="0" w:type="dxa"/>
          </w:tblCellMar>
        </w:tblPrEx>
        <w:trPr>
          <w:trHeight w:val="377" w:hRule="atLeast"/>
          <w:jc w:val="center"/>
        </w:trPr>
        <w:tc>
          <w:tcPr>
            <w:tcW w:w="2025" w:type="dxa"/>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color w:val="000000"/>
                <w:sz w:val="28"/>
                <w:szCs w:val="28"/>
              </w:rPr>
              <w:t>信息内容</w:t>
            </w:r>
          </w:p>
        </w:tc>
        <w:tc>
          <w:tcPr>
            <w:tcW w:w="2025"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color w:val="000000"/>
                <w:sz w:val="28"/>
                <w:szCs w:val="28"/>
              </w:rPr>
              <w:t>本年</w:t>
            </w:r>
            <w:r>
              <w:rPr>
                <w:rFonts w:hint="default" w:ascii="Times New Roman" w:hAnsi="Times New Roman" w:eastAsia="方正仿宋_GBK" w:cs="Times New Roman"/>
                <w:color w:val="333333"/>
                <w:sz w:val="28"/>
                <w:szCs w:val="28"/>
              </w:rPr>
              <w:t>制发件数</w:t>
            </w:r>
          </w:p>
        </w:tc>
        <w:tc>
          <w:tcPr>
            <w:tcW w:w="2025"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color w:val="000000"/>
                <w:sz w:val="28"/>
                <w:szCs w:val="28"/>
              </w:rPr>
              <w:t>本年废止件数</w:t>
            </w:r>
          </w:p>
        </w:tc>
        <w:tc>
          <w:tcPr>
            <w:tcW w:w="2025"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color w:val="000000"/>
                <w:sz w:val="28"/>
                <w:szCs w:val="28"/>
              </w:rPr>
              <w:t>现行有效件</w:t>
            </w:r>
            <w:r>
              <w:rPr>
                <w:rFonts w:hint="default" w:ascii="Times New Roman" w:hAnsi="Times New Roman" w:eastAsia="方正仿宋_GBK" w:cs="Times New Roman"/>
                <w:color w:val="333333"/>
                <w:sz w:val="28"/>
                <w:szCs w:val="28"/>
              </w:rPr>
              <w:t>数</w:t>
            </w:r>
          </w:p>
        </w:tc>
      </w:tr>
      <w:tr>
        <w:tblPrEx>
          <w:tblCellMar>
            <w:top w:w="0" w:type="dxa"/>
            <w:left w:w="0" w:type="dxa"/>
            <w:bottom w:w="0" w:type="dxa"/>
            <w:right w:w="0" w:type="dxa"/>
          </w:tblCellMar>
        </w:tblPrEx>
        <w:trPr>
          <w:trHeight w:val="377" w:hRule="atLeast"/>
          <w:jc w:val="center"/>
        </w:trPr>
        <w:tc>
          <w:tcPr>
            <w:tcW w:w="2025" w:type="dxa"/>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color w:val="000000"/>
                <w:sz w:val="28"/>
                <w:szCs w:val="28"/>
              </w:rPr>
              <w:t>规章</w:t>
            </w:r>
          </w:p>
        </w:tc>
        <w:tc>
          <w:tcPr>
            <w:tcW w:w="2025"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color w:val="000000"/>
                <w:sz w:val="28"/>
                <w:szCs w:val="28"/>
              </w:rPr>
              <w:t>0</w:t>
            </w:r>
          </w:p>
        </w:tc>
        <w:tc>
          <w:tcPr>
            <w:tcW w:w="2025"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color w:val="000000"/>
                <w:sz w:val="28"/>
                <w:szCs w:val="28"/>
              </w:rPr>
              <w:t>0</w:t>
            </w:r>
          </w:p>
        </w:tc>
        <w:tc>
          <w:tcPr>
            <w:tcW w:w="2025"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color w:val="333333"/>
                <w:sz w:val="28"/>
                <w:szCs w:val="28"/>
              </w:rPr>
              <w:t>0</w:t>
            </w:r>
          </w:p>
        </w:tc>
      </w:tr>
      <w:tr>
        <w:tblPrEx>
          <w:tblCellMar>
            <w:top w:w="0" w:type="dxa"/>
            <w:left w:w="0" w:type="dxa"/>
            <w:bottom w:w="0" w:type="dxa"/>
            <w:right w:w="0" w:type="dxa"/>
          </w:tblCellMar>
        </w:tblPrEx>
        <w:trPr>
          <w:trHeight w:val="377" w:hRule="atLeast"/>
          <w:jc w:val="center"/>
        </w:trPr>
        <w:tc>
          <w:tcPr>
            <w:tcW w:w="2025" w:type="dxa"/>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color w:val="000000"/>
                <w:sz w:val="28"/>
                <w:szCs w:val="28"/>
              </w:rPr>
              <w:t>行政规范性文件</w:t>
            </w:r>
          </w:p>
        </w:tc>
        <w:tc>
          <w:tcPr>
            <w:tcW w:w="2025"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color w:val="333333"/>
                <w:sz w:val="28"/>
                <w:szCs w:val="28"/>
              </w:rPr>
              <w:t>0</w:t>
            </w:r>
          </w:p>
        </w:tc>
        <w:tc>
          <w:tcPr>
            <w:tcW w:w="2025"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color w:val="333333"/>
                <w:sz w:val="28"/>
                <w:szCs w:val="28"/>
              </w:rPr>
              <w:t>0</w:t>
            </w:r>
          </w:p>
        </w:tc>
        <w:tc>
          <w:tcPr>
            <w:tcW w:w="2025"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color w:val="333333"/>
                <w:sz w:val="28"/>
                <w:szCs w:val="28"/>
              </w:rPr>
              <w:t>0</w:t>
            </w:r>
          </w:p>
        </w:tc>
      </w:tr>
      <w:tr>
        <w:tblPrEx>
          <w:tblCellMar>
            <w:top w:w="0" w:type="dxa"/>
            <w:left w:w="0" w:type="dxa"/>
            <w:bottom w:w="0" w:type="dxa"/>
            <w:right w:w="0" w:type="dxa"/>
          </w:tblCellMar>
        </w:tblPrEx>
        <w:trPr>
          <w:trHeight w:val="377" w:hRule="atLeast"/>
          <w:jc w:val="center"/>
        </w:trPr>
        <w:tc>
          <w:tcPr>
            <w:tcW w:w="810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color w:val="000000"/>
                <w:sz w:val="28"/>
                <w:szCs w:val="28"/>
              </w:rPr>
              <w:t>第二十条第（五）项</w:t>
            </w:r>
          </w:p>
        </w:tc>
      </w:tr>
      <w:tr>
        <w:tblPrEx>
          <w:tblCellMar>
            <w:top w:w="0" w:type="dxa"/>
            <w:left w:w="0" w:type="dxa"/>
            <w:bottom w:w="0" w:type="dxa"/>
            <w:right w:w="0" w:type="dxa"/>
          </w:tblCellMar>
        </w:tblPrEx>
        <w:trPr>
          <w:trHeight w:val="377" w:hRule="atLeast"/>
          <w:jc w:val="center"/>
        </w:trPr>
        <w:tc>
          <w:tcPr>
            <w:tcW w:w="2025" w:type="dxa"/>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color w:val="000000"/>
                <w:sz w:val="28"/>
                <w:szCs w:val="28"/>
              </w:rPr>
              <w:t>信息内容</w:t>
            </w:r>
          </w:p>
        </w:tc>
        <w:tc>
          <w:tcPr>
            <w:tcW w:w="6075" w:type="dxa"/>
            <w:gridSpan w:val="3"/>
            <w:tcBorders>
              <w:top w:val="nil"/>
              <w:left w:val="nil"/>
              <w:bottom w:val="single" w:color="auto" w:sz="8" w:space="0"/>
              <w:right w:val="single" w:color="auto" w:sz="8" w:space="0"/>
            </w:tcBorders>
            <w:shd w:val="clear" w:color="auto" w:fill="FFFFFF"/>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color w:val="000000"/>
                <w:sz w:val="28"/>
                <w:szCs w:val="28"/>
              </w:rPr>
              <w:t>本年处理决定数量</w:t>
            </w:r>
          </w:p>
        </w:tc>
      </w:tr>
      <w:tr>
        <w:tblPrEx>
          <w:tblCellMar>
            <w:top w:w="0" w:type="dxa"/>
            <w:left w:w="0" w:type="dxa"/>
            <w:bottom w:w="0" w:type="dxa"/>
            <w:right w:w="0" w:type="dxa"/>
          </w:tblCellMar>
        </w:tblPrEx>
        <w:trPr>
          <w:trHeight w:val="377" w:hRule="atLeast"/>
          <w:jc w:val="center"/>
        </w:trPr>
        <w:tc>
          <w:tcPr>
            <w:tcW w:w="2025" w:type="dxa"/>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color w:val="000000"/>
                <w:sz w:val="28"/>
                <w:szCs w:val="28"/>
              </w:rPr>
              <w:t>行政许可</w:t>
            </w:r>
          </w:p>
        </w:tc>
        <w:tc>
          <w:tcPr>
            <w:tcW w:w="6075" w:type="dxa"/>
            <w:gridSpan w:val="3"/>
            <w:tcBorders>
              <w:top w:val="nil"/>
              <w:left w:val="nil"/>
              <w:bottom w:val="single" w:color="auto" w:sz="8" w:space="0"/>
              <w:right w:val="single" w:color="auto" w:sz="8" w:space="0"/>
            </w:tcBorders>
            <w:shd w:val="clear" w:color="auto" w:fill="FFFFFF"/>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color w:val="333333"/>
                <w:sz w:val="28"/>
                <w:szCs w:val="28"/>
              </w:rPr>
              <w:t>0</w:t>
            </w:r>
          </w:p>
        </w:tc>
      </w:tr>
      <w:tr>
        <w:tblPrEx>
          <w:tblCellMar>
            <w:top w:w="0" w:type="dxa"/>
            <w:left w:w="0" w:type="dxa"/>
            <w:bottom w:w="0" w:type="dxa"/>
            <w:right w:w="0" w:type="dxa"/>
          </w:tblCellMar>
        </w:tblPrEx>
        <w:trPr>
          <w:trHeight w:val="377" w:hRule="atLeast"/>
          <w:jc w:val="center"/>
        </w:trPr>
        <w:tc>
          <w:tcPr>
            <w:tcW w:w="810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color w:val="000000"/>
                <w:sz w:val="28"/>
                <w:szCs w:val="28"/>
              </w:rPr>
              <w:t>第二十条第（六）项</w:t>
            </w:r>
          </w:p>
        </w:tc>
      </w:tr>
      <w:tr>
        <w:tblPrEx>
          <w:tblCellMar>
            <w:top w:w="0" w:type="dxa"/>
            <w:left w:w="0" w:type="dxa"/>
            <w:bottom w:w="0" w:type="dxa"/>
            <w:right w:w="0" w:type="dxa"/>
          </w:tblCellMar>
        </w:tblPrEx>
        <w:trPr>
          <w:trHeight w:val="377" w:hRule="atLeast"/>
          <w:jc w:val="center"/>
        </w:trPr>
        <w:tc>
          <w:tcPr>
            <w:tcW w:w="2025" w:type="dxa"/>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color w:val="000000"/>
                <w:sz w:val="28"/>
                <w:szCs w:val="28"/>
              </w:rPr>
              <w:t>信息内容</w:t>
            </w:r>
          </w:p>
        </w:tc>
        <w:tc>
          <w:tcPr>
            <w:tcW w:w="6075" w:type="dxa"/>
            <w:gridSpan w:val="3"/>
            <w:tcBorders>
              <w:top w:val="nil"/>
              <w:left w:val="nil"/>
              <w:bottom w:val="single" w:color="auto" w:sz="8" w:space="0"/>
              <w:right w:val="single" w:color="auto" w:sz="8" w:space="0"/>
            </w:tcBorders>
            <w:shd w:val="clear" w:color="auto" w:fill="FFFFFF"/>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color w:val="000000"/>
                <w:sz w:val="28"/>
                <w:szCs w:val="28"/>
              </w:rPr>
              <w:t>本年处理决定数量</w:t>
            </w:r>
          </w:p>
        </w:tc>
      </w:tr>
      <w:tr>
        <w:tblPrEx>
          <w:tblCellMar>
            <w:top w:w="0" w:type="dxa"/>
            <w:left w:w="0" w:type="dxa"/>
            <w:bottom w:w="0" w:type="dxa"/>
            <w:right w:w="0" w:type="dxa"/>
          </w:tblCellMar>
        </w:tblPrEx>
        <w:trPr>
          <w:trHeight w:val="377" w:hRule="atLeast"/>
          <w:jc w:val="center"/>
        </w:trPr>
        <w:tc>
          <w:tcPr>
            <w:tcW w:w="2025" w:type="dxa"/>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color w:val="000000"/>
                <w:sz w:val="28"/>
                <w:szCs w:val="28"/>
              </w:rPr>
              <w:t>行政处罚</w:t>
            </w:r>
          </w:p>
        </w:tc>
        <w:tc>
          <w:tcPr>
            <w:tcW w:w="6075" w:type="dxa"/>
            <w:gridSpan w:val="3"/>
            <w:tcBorders>
              <w:top w:val="nil"/>
              <w:left w:val="nil"/>
              <w:bottom w:val="single" w:color="auto" w:sz="8" w:space="0"/>
              <w:right w:val="single" w:color="auto" w:sz="8" w:space="0"/>
            </w:tcBorders>
            <w:shd w:val="clear" w:color="auto" w:fill="FFFFFF"/>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color w:val="333333"/>
                <w:sz w:val="28"/>
                <w:szCs w:val="28"/>
              </w:rPr>
              <w:t>0</w:t>
            </w:r>
          </w:p>
        </w:tc>
      </w:tr>
      <w:tr>
        <w:tblPrEx>
          <w:tblCellMar>
            <w:top w:w="0" w:type="dxa"/>
            <w:left w:w="0" w:type="dxa"/>
            <w:bottom w:w="0" w:type="dxa"/>
            <w:right w:w="0" w:type="dxa"/>
          </w:tblCellMar>
        </w:tblPrEx>
        <w:trPr>
          <w:trHeight w:val="377" w:hRule="atLeast"/>
          <w:jc w:val="center"/>
        </w:trPr>
        <w:tc>
          <w:tcPr>
            <w:tcW w:w="2025" w:type="dxa"/>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color w:val="000000"/>
                <w:sz w:val="28"/>
                <w:szCs w:val="28"/>
              </w:rPr>
              <w:t>行政强制</w:t>
            </w:r>
          </w:p>
        </w:tc>
        <w:tc>
          <w:tcPr>
            <w:tcW w:w="6075" w:type="dxa"/>
            <w:gridSpan w:val="3"/>
            <w:tcBorders>
              <w:top w:val="nil"/>
              <w:left w:val="nil"/>
              <w:bottom w:val="single" w:color="auto" w:sz="8" w:space="0"/>
              <w:right w:val="single" w:color="auto" w:sz="8" w:space="0"/>
            </w:tcBorders>
            <w:shd w:val="clear" w:color="auto" w:fill="FFFFFF"/>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color w:val="333333"/>
                <w:sz w:val="28"/>
                <w:szCs w:val="28"/>
              </w:rPr>
              <w:t>0</w:t>
            </w:r>
          </w:p>
        </w:tc>
      </w:tr>
      <w:tr>
        <w:tblPrEx>
          <w:tblCellMar>
            <w:top w:w="0" w:type="dxa"/>
            <w:left w:w="0" w:type="dxa"/>
            <w:bottom w:w="0" w:type="dxa"/>
            <w:right w:w="0" w:type="dxa"/>
          </w:tblCellMar>
        </w:tblPrEx>
        <w:trPr>
          <w:trHeight w:val="377" w:hRule="atLeast"/>
          <w:jc w:val="center"/>
        </w:trPr>
        <w:tc>
          <w:tcPr>
            <w:tcW w:w="810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color w:val="000000"/>
                <w:sz w:val="28"/>
                <w:szCs w:val="28"/>
              </w:rPr>
              <w:t>第二十条第（八）项</w:t>
            </w:r>
          </w:p>
        </w:tc>
      </w:tr>
      <w:tr>
        <w:tblPrEx>
          <w:tblCellMar>
            <w:top w:w="0" w:type="dxa"/>
            <w:left w:w="0" w:type="dxa"/>
            <w:bottom w:w="0" w:type="dxa"/>
            <w:right w:w="0" w:type="dxa"/>
          </w:tblCellMar>
        </w:tblPrEx>
        <w:trPr>
          <w:trHeight w:val="377" w:hRule="atLeast"/>
          <w:jc w:val="center"/>
        </w:trPr>
        <w:tc>
          <w:tcPr>
            <w:tcW w:w="2025" w:type="dxa"/>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color w:val="000000"/>
                <w:sz w:val="28"/>
                <w:szCs w:val="28"/>
              </w:rPr>
              <w:t>信息内容</w:t>
            </w:r>
          </w:p>
        </w:tc>
        <w:tc>
          <w:tcPr>
            <w:tcW w:w="6075" w:type="dxa"/>
            <w:gridSpan w:val="3"/>
            <w:tcBorders>
              <w:top w:val="nil"/>
              <w:left w:val="nil"/>
              <w:bottom w:val="single" w:color="auto" w:sz="8" w:space="0"/>
              <w:right w:val="single" w:color="000000" w:sz="8" w:space="0"/>
            </w:tcBorders>
            <w:shd w:val="clear" w:color="auto" w:fill="FFFFFF"/>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color w:val="000000"/>
                <w:sz w:val="28"/>
                <w:szCs w:val="28"/>
              </w:rPr>
              <w:t>本年收费金额（单位：万元）</w:t>
            </w:r>
          </w:p>
        </w:tc>
      </w:tr>
      <w:tr>
        <w:tblPrEx>
          <w:tblCellMar>
            <w:top w:w="0" w:type="dxa"/>
            <w:left w:w="0" w:type="dxa"/>
            <w:bottom w:w="0" w:type="dxa"/>
            <w:right w:w="0" w:type="dxa"/>
          </w:tblCellMar>
        </w:tblPrEx>
        <w:trPr>
          <w:trHeight w:val="415" w:hRule="atLeast"/>
          <w:jc w:val="center"/>
        </w:trPr>
        <w:tc>
          <w:tcPr>
            <w:tcW w:w="2025" w:type="dxa"/>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color w:val="000000"/>
                <w:sz w:val="28"/>
                <w:szCs w:val="28"/>
              </w:rPr>
              <w:t>行政事业性收费</w:t>
            </w:r>
          </w:p>
        </w:tc>
        <w:tc>
          <w:tcPr>
            <w:tcW w:w="6075" w:type="dxa"/>
            <w:gridSpan w:val="3"/>
            <w:tcBorders>
              <w:top w:val="nil"/>
              <w:left w:val="nil"/>
              <w:bottom w:val="single" w:color="auto" w:sz="8" w:space="0"/>
              <w:right w:val="single" w:color="000000" w:sz="8" w:space="0"/>
            </w:tcBorders>
            <w:shd w:val="clear" w:color="auto" w:fill="FFFFFF"/>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color w:val="333333"/>
                <w:sz w:val="28"/>
                <w:szCs w:val="28"/>
              </w:rPr>
              <w:t>0</w:t>
            </w:r>
          </w:p>
        </w:tc>
      </w:tr>
    </w:tbl>
    <w:p>
      <w:pPr>
        <w:pStyle w:val="7"/>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90" w:lineRule="exact"/>
        <w:ind w:firstLine="420"/>
        <w:jc w:val="both"/>
        <w:textAlignment w:val="auto"/>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color w:val="333333"/>
          <w:sz w:val="32"/>
          <w:szCs w:val="32"/>
          <w:shd w:val="clear" w:color="auto" w:fill="FFFFFF"/>
        </w:rPr>
        <w:t> </w:t>
      </w:r>
    </w:p>
    <w:p>
      <w:pPr>
        <w:pStyle w:val="7"/>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90" w:lineRule="exact"/>
        <w:ind w:firstLine="640" w:firstLineChars="200"/>
        <w:textAlignment w:val="auto"/>
        <w:rPr>
          <w:rFonts w:hint="default" w:ascii="方正黑体_GBK" w:hAnsi="方正黑体_GBK" w:eastAsia="方正黑体_GBK" w:cs="方正黑体_GBK"/>
          <w:b w:val="0"/>
          <w:bCs w:val="0"/>
          <w:color w:val="333333"/>
          <w:sz w:val="32"/>
          <w:szCs w:val="32"/>
          <w:shd w:val="clear" w:color="auto" w:fill="FFFFFF"/>
        </w:rPr>
      </w:pPr>
      <w:r>
        <w:rPr>
          <w:rFonts w:hint="default" w:ascii="方正黑体_GBK" w:hAnsi="方正黑体_GBK" w:eastAsia="方正黑体_GBK" w:cs="方正黑体_GBK"/>
          <w:b w:val="0"/>
          <w:bCs w:val="0"/>
          <w:color w:val="333333"/>
          <w:sz w:val="32"/>
          <w:szCs w:val="32"/>
          <w:shd w:val="clear" w:color="auto" w:fill="FFFFFF"/>
        </w:rPr>
        <w:t>三、收到和处理政府信息公开申请情况</w:t>
      </w:r>
    </w:p>
    <w:tbl>
      <w:tblPr>
        <w:tblStyle w:val="8"/>
        <w:tblW w:w="837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74"/>
        <w:gridCol w:w="954"/>
        <w:gridCol w:w="2652"/>
        <w:gridCol w:w="580"/>
        <w:gridCol w:w="586"/>
        <w:gridCol w:w="586"/>
        <w:gridCol w:w="586"/>
        <w:gridCol w:w="586"/>
        <w:gridCol w:w="588"/>
        <w:gridCol w:w="58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4239" w:type="dxa"/>
            <w:gridSpan w:val="3"/>
            <w:vMerge w:val="restart"/>
            <w:tcBorders>
              <w:top w:val="single" w:color="auto" w:sz="8" w:space="0"/>
              <w:left w:val="single" w:color="auto" w:sz="8" w:space="0"/>
              <w:bottom w:val="inset" w:color="auto" w:sz="8" w:space="0"/>
              <w:right w:val="single" w:color="auto" w:sz="8" w:space="0"/>
            </w:tcBorders>
            <w:shd w:val="clear" w:color="auto" w:fill="auto"/>
            <w:tcMar>
              <w:left w:w="108" w:type="dxa"/>
              <w:right w:w="108"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（本列数据的勾稽关系为：第一项加第二项之和，等于第三项加第四项之和）</w:t>
            </w:r>
          </w:p>
        </w:tc>
        <w:tc>
          <w:tcPr>
            <w:tcW w:w="4140" w:type="dxa"/>
            <w:gridSpan w:val="7"/>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4239" w:type="dxa"/>
            <w:gridSpan w:val="3"/>
            <w:vMerge w:val="continue"/>
            <w:tcBorders>
              <w:top w:val="single" w:color="auto" w:sz="8" w:space="0"/>
              <w:left w:val="single" w:color="auto" w:sz="8" w:space="0"/>
              <w:bottom w:val="inset"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8"/>
                <w:szCs w:val="28"/>
              </w:rPr>
            </w:pPr>
          </w:p>
        </w:tc>
        <w:tc>
          <w:tcPr>
            <w:tcW w:w="591" w:type="dxa"/>
            <w:vMerge w:val="restart"/>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自然人</w:t>
            </w:r>
          </w:p>
        </w:tc>
        <w:tc>
          <w:tcPr>
            <w:tcW w:w="2957"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法人或其他组织</w:t>
            </w:r>
          </w:p>
        </w:tc>
        <w:tc>
          <w:tcPr>
            <w:tcW w:w="592" w:type="dxa"/>
            <w:vMerge w:val="restart"/>
            <w:tcBorders>
              <w:top w:val="nil"/>
              <w:left w:val="nil"/>
              <w:bottom w:val="inset" w:color="auto" w:sz="8" w:space="0"/>
              <w:right w:val="single" w:color="auto" w:sz="8" w:space="0"/>
            </w:tcBorders>
            <w:shd w:val="clear" w:color="auto" w:fill="auto"/>
            <w:tcMar>
              <w:left w:w="108" w:type="dxa"/>
              <w:right w:w="108"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55" w:hRule="atLeast"/>
          <w:jc w:val="center"/>
        </w:trPr>
        <w:tc>
          <w:tcPr>
            <w:tcW w:w="4239" w:type="dxa"/>
            <w:gridSpan w:val="3"/>
            <w:vMerge w:val="continue"/>
            <w:tcBorders>
              <w:top w:val="single" w:color="auto" w:sz="8" w:space="0"/>
              <w:left w:val="single" w:color="auto" w:sz="8" w:space="0"/>
              <w:bottom w:val="inset"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8"/>
                <w:szCs w:val="28"/>
              </w:rPr>
            </w:pPr>
          </w:p>
        </w:tc>
        <w:tc>
          <w:tcPr>
            <w:tcW w:w="591" w:type="dxa"/>
            <w:vMerge w:val="continue"/>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8"/>
                <w:szCs w:val="28"/>
              </w:rPr>
            </w:pPr>
          </w:p>
        </w:tc>
        <w:tc>
          <w:tcPr>
            <w:tcW w:w="59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商业</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企业</w:t>
            </w:r>
          </w:p>
        </w:tc>
        <w:tc>
          <w:tcPr>
            <w:tcW w:w="59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科研</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机构</w:t>
            </w:r>
          </w:p>
        </w:tc>
        <w:tc>
          <w:tcPr>
            <w:tcW w:w="59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社会公益组织</w:t>
            </w:r>
          </w:p>
        </w:tc>
        <w:tc>
          <w:tcPr>
            <w:tcW w:w="59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法律服务机构</w:t>
            </w:r>
          </w:p>
        </w:tc>
        <w:tc>
          <w:tcPr>
            <w:tcW w:w="59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其他</w:t>
            </w:r>
          </w:p>
        </w:tc>
        <w:tc>
          <w:tcPr>
            <w:tcW w:w="592" w:type="dxa"/>
            <w:vMerge w:val="continue"/>
            <w:tcBorders>
              <w:top w:val="nil"/>
              <w:left w:val="nil"/>
              <w:bottom w:val="inset"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8"/>
                <w:szCs w:val="2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4239"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一、本年新收政府信息公开申请数量</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3"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2"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4239"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二、上年结转政府信息公开申请数量</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3"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2"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restart"/>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三、本年度办理结果</w:t>
            </w:r>
          </w:p>
        </w:tc>
        <w:tc>
          <w:tcPr>
            <w:tcW w:w="3579"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（一）予以公开</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3"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2"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44" w:hRule="atLeast"/>
          <w:jc w:val="center"/>
        </w:trPr>
        <w:tc>
          <w:tcPr>
            <w:tcW w:w="660"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8"/>
                <w:szCs w:val="28"/>
              </w:rPr>
            </w:pPr>
          </w:p>
        </w:tc>
        <w:tc>
          <w:tcPr>
            <w:tcW w:w="3579"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（二）部分公开（区分处理的，只计这一情形，不计其他情形）</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3"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2"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8"/>
                <w:szCs w:val="28"/>
              </w:rPr>
            </w:pPr>
          </w:p>
        </w:tc>
        <w:tc>
          <w:tcPr>
            <w:tcW w:w="810" w:type="dxa"/>
            <w:vMerge w:val="restart"/>
            <w:tcBorders>
              <w:top w:val="nil"/>
              <w:left w:val="nil"/>
              <w:bottom w:val="inset"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（三）不予公开</w:t>
            </w:r>
          </w:p>
        </w:tc>
        <w:tc>
          <w:tcPr>
            <w:tcW w:w="2769"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1.属于国家秘密</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3"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2"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8"/>
                <w:szCs w:val="28"/>
              </w:rPr>
            </w:pPr>
          </w:p>
        </w:tc>
        <w:tc>
          <w:tcPr>
            <w:tcW w:w="810" w:type="dxa"/>
            <w:vMerge w:val="continue"/>
            <w:tcBorders>
              <w:top w:val="nil"/>
              <w:left w:val="nil"/>
              <w:bottom w:val="in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8"/>
                <w:szCs w:val="28"/>
              </w:rPr>
            </w:pPr>
          </w:p>
        </w:tc>
        <w:tc>
          <w:tcPr>
            <w:tcW w:w="2769"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2.其他法律行政法规禁止公开</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3"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2"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8"/>
                <w:szCs w:val="28"/>
              </w:rPr>
            </w:pPr>
          </w:p>
        </w:tc>
        <w:tc>
          <w:tcPr>
            <w:tcW w:w="810" w:type="dxa"/>
            <w:vMerge w:val="continue"/>
            <w:tcBorders>
              <w:top w:val="nil"/>
              <w:left w:val="nil"/>
              <w:bottom w:val="in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8"/>
                <w:szCs w:val="28"/>
              </w:rPr>
            </w:pPr>
          </w:p>
        </w:tc>
        <w:tc>
          <w:tcPr>
            <w:tcW w:w="2769"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3.危及“三安全一稳定”</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3"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2"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8"/>
                <w:szCs w:val="28"/>
              </w:rPr>
            </w:pPr>
          </w:p>
        </w:tc>
        <w:tc>
          <w:tcPr>
            <w:tcW w:w="810" w:type="dxa"/>
            <w:vMerge w:val="continue"/>
            <w:tcBorders>
              <w:top w:val="nil"/>
              <w:left w:val="nil"/>
              <w:bottom w:val="in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8"/>
                <w:szCs w:val="28"/>
              </w:rPr>
            </w:pPr>
          </w:p>
        </w:tc>
        <w:tc>
          <w:tcPr>
            <w:tcW w:w="2769"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4.保护第三方合法权益</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3"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2"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8"/>
                <w:szCs w:val="28"/>
              </w:rPr>
            </w:pPr>
          </w:p>
        </w:tc>
        <w:tc>
          <w:tcPr>
            <w:tcW w:w="810" w:type="dxa"/>
            <w:vMerge w:val="continue"/>
            <w:tcBorders>
              <w:top w:val="nil"/>
              <w:left w:val="nil"/>
              <w:bottom w:val="in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8"/>
                <w:szCs w:val="28"/>
              </w:rPr>
            </w:pPr>
          </w:p>
        </w:tc>
        <w:tc>
          <w:tcPr>
            <w:tcW w:w="2769"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5.属于三类内部事务信息</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3"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2"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8"/>
                <w:szCs w:val="28"/>
              </w:rPr>
            </w:pPr>
          </w:p>
        </w:tc>
        <w:tc>
          <w:tcPr>
            <w:tcW w:w="810" w:type="dxa"/>
            <w:vMerge w:val="continue"/>
            <w:tcBorders>
              <w:top w:val="nil"/>
              <w:left w:val="nil"/>
              <w:bottom w:val="in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8"/>
                <w:szCs w:val="28"/>
              </w:rPr>
            </w:pPr>
          </w:p>
        </w:tc>
        <w:tc>
          <w:tcPr>
            <w:tcW w:w="2769"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6.属于四类过程性信息</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3"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2"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8"/>
                <w:szCs w:val="28"/>
              </w:rPr>
            </w:pPr>
          </w:p>
        </w:tc>
        <w:tc>
          <w:tcPr>
            <w:tcW w:w="810" w:type="dxa"/>
            <w:vMerge w:val="continue"/>
            <w:tcBorders>
              <w:top w:val="nil"/>
              <w:left w:val="nil"/>
              <w:bottom w:val="in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8"/>
                <w:szCs w:val="28"/>
              </w:rPr>
            </w:pPr>
          </w:p>
        </w:tc>
        <w:tc>
          <w:tcPr>
            <w:tcW w:w="2769"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7.属于行政执法案卷</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3"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2"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8"/>
                <w:szCs w:val="28"/>
              </w:rPr>
            </w:pPr>
          </w:p>
        </w:tc>
        <w:tc>
          <w:tcPr>
            <w:tcW w:w="810" w:type="dxa"/>
            <w:vMerge w:val="continue"/>
            <w:tcBorders>
              <w:top w:val="nil"/>
              <w:left w:val="nil"/>
              <w:bottom w:val="in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8"/>
                <w:szCs w:val="28"/>
              </w:rPr>
            </w:pPr>
          </w:p>
        </w:tc>
        <w:tc>
          <w:tcPr>
            <w:tcW w:w="2769"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8.属于行政查询事项</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3"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2"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8"/>
                <w:szCs w:val="28"/>
              </w:rPr>
            </w:pPr>
          </w:p>
        </w:tc>
        <w:tc>
          <w:tcPr>
            <w:tcW w:w="810" w:type="dxa"/>
            <w:vMerge w:val="restart"/>
            <w:tcBorders>
              <w:top w:val="nil"/>
              <w:left w:val="nil"/>
              <w:bottom w:val="inset"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（四）无法提供</w:t>
            </w:r>
          </w:p>
        </w:tc>
        <w:tc>
          <w:tcPr>
            <w:tcW w:w="2769"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1.本机关不掌握相关政府信息</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3"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2"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8"/>
                <w:szCs w:val="28"/>
              </w:rPr>
            </w:pPr>
          </w:p>
        </w:tc>
        <w:tc>
          <w:tcPr>
            <w:tcW w:w="810" w:type="dxa"/>
            <w:vMerge w:val="continue"/>
            <w:tcBorders>
              <w:top w:val="nil"/>
              <w:left w:val="nil"/>
              <w:bottom w:val="in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8"/>
                <w:szCs w:val="28"/>
              </w:rPr>
            </w:pPr>
          </w:p>
        </w:tc>
        <w:tc>
          <w:tcPr>
            <w:tcW w:w="2769"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2.没有现成信息需要另行制作</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3"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2"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8"/>
                <w:szCs w:val="28"/>
              </w:rPr>
            </w:pPr>
          </w:p>
        </w:tc>
        <w:tc>
          <w:tcPr>
            <w:tcW w:w="810" w:type="dxa"/>
            <w:vMerge w:val="continue"/>
            <w:tcBorders>
              <w:top w:val="nil"/>
              <w:left w:val="nil"/>
              <w:bottom w:val="in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8"/>
                <w:szCs w:val="28"/>
              </w:rPr>
            </w:pPr>
          </w:p>
        </w:tc>
        <w:tc>
          <w:tcPr>
            <w:tcW w:w="2769"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3.补正后申请内容仍不明确</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3"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2"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8"/>
                <w:szCs w:val="28"/>
              </w:rPr>
            </w:pPr>
          </w:p>
        </w:tc>
        <w:tc>
          <w:tcPr>
            <w:tcW w:w="810" w:type="dxa"/>
            <w:vMerge w:val="restart"/>
            <w:tcBorders>
              <w:top w:val="nil"/>
              <w:left w:val="nil"/>
              <w:bottom w:val="inset"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（五）不予处理</w:t>
            </w:r>
          </w:p>
        </w:tc>
        <w:tc>
          <w:tcPr>
            <w:tcW w:w="2769"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1.信访举报投诉类申请</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3"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2"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8"/>
                <w:szCs w:val="28"/>
              </w:rPr>
            </w:pPr>
          </w:p>
        </w:tc>
        <w:tc>
          <w:tcPr>
            <w:tcW w:w="810" w:type="dxa"/>
            <w:vMerge w:val="continue"/>
            <w:tcBorders>
              <w:top w:val="nil"/>
              <w:left w:val="nil"/>
              <w:bottom w:val="in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8"/>
                <w:szCs w:val="28"/>
              </w:rPr>
            </w:pPr>
          </w:p>
        </w:tc>
        <w:tc>
          <w:tcPr>
            <w:tcW w:w="2769"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2.重复申请</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3"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2"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8"/>
                <w:szCs w:val="28"/>
              </w:rPr>
            </w:pPr>
          </w:p>
        </w:tc>
        <w:tc>
          <w:tcPr>
            <w:tcW w:w="810" w:type="dxa"/>
            <w:vMerge w:val="continue"/>
            <w:tcBorders>
              <w:top w:val="nil"/>
              <w:left w:val="nil"/>
              <w:bottom w:val="in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8"/>
                <w:szCs w:val="28"/>
              </w:rPr>
            </w:pPr>
          </w:p>
        </w:tc>
        <w:tc>
          <w:tcPr>
            <w:tcW w:w="2769"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3.要求提供公开出版物</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3"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2"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8"/>
                <w:szCs w:val="28"/>
              </w:rPr>
            </w:pPr>
          </w:p>
        </w:tc>
        <w:tc>
          <w:tcPr>
            <w:tcW w:w="810" w:type="dxa"/>
            <w:vMerge w:val="continue"/>
            <w:tcBorders>
              <w:top w:val="nil"/>
              <w:left w:val="nil"/>
              <w:bottom w:val="in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8"/>
                <w:szCs w:val="28"/>
              </w:rPr>
            </w:pPr>
          </w:p>
        </w:tc>
        <w:tc>
          <w:tcPr>
            <w:tcW w:w="2769"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4.无正当理由大量反复申请</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3"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2"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99" w:hRule="atLeast"/>
          <w:jc w:val="center"/>
        </w:trPr>
        <w:tc>
          <w:tcPr>
            <w:tcW w:w="660"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8"/>
                <w:szCs w:val="28"/>
              </w:rPr>
            </w:pPr>
          </w:p>
        </w:tc>
        <w:tc>
          <w:tcPr>
            <w:tcW w:w="810" w:type="dxa"/>
            <w:vMerge w:val="continue"/>
            <w:tcBorders>
              <w:top w:val="nil"/>
              <w:left w:val="nil"/>
              <w:bottom w:val="in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8"/>
                <w:szCs w:val="28"/>
              </w:rPr>
            </w:pPr>
          </w:p>
        </w:tc>
        <w:tc>
          <w:tcPr>
            <w:tcW w:w="2769" w:type="dxa"/>
            <w:tcBorders>
              <w:top w:val="nil"/>
              <w:left w:val="nil"/>
              <w:bottom w:val="inset"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both"/>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5.要求行政机关确认或重新出具已获取信息</w:t>
            </w:r>
          </w:p>
        </w:tc>
        <w:tc>
          <w:tcPr>
            <w:tcW w:w="591" w:type="dxa"/>
            <w:tcBorders>
              <w:top w:val="nil"/>
              <w:left w:val="nil"/>
              <w:bottom w:val="inset"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1" w:type="dxa"/>
            <w:tcBorders>
              <w:top w:val="nil"/>
              <w:left w:val="nil"/>
              <w:bottom w:val="inset"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1" w:type="dxa"/>
            <w:tcBorders>
              <w:top w:val="nil"/>
              <w:left w:val="nil"/>
              <w:bottom w:val="inset"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1" w:type="dxa"/>
            <w:tcBorders>
              <w:top w:val="nil"/>
              <w:left w:val="nil"/>
              <w:bottom w:val="inset"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1" w:type="dxa"/>
            <w:tcBorders>
              <w:top w:val="nil"/>
              <w:left w:val="nil"/>
              <w:bottom w:val="inset"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3" w:type="dxa"/>
            <w:tcBorders>
              <w:top w:val="nil"/>
              <w:left w:val="nil"/>
              <w:bottom w:val="inset"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2" w:type="dxa"/>
            <w:tcBorders>
              <w:top w:val="nil"/>
              <w:left w:val="nil"/>
              <w:bottom w:val="inset"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55" w:hRule="atLeast"/>
          <w:jc w:val="center"/>
        </w:trPr>
        <w:tc>
          <w:tcPr>
            <w:tcW w:w="660"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8"/>
                <w:szCs w:val="28"/>
              </w:rPr>
            </w:pPr>
          </w:p>
        </w:tc>
        <w:tc>
          <w:tcPr>
            <w:tcW w:w="810" w:type="dxa"/>
            <w:vMerge w:val="restart"/>
            <w:tcBorders>
              <w:top w:val="nil"/>
              <w:left w:val="nil"/>
              <w:bottom w:val="inset"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（六）其他处理</w:t>
            </w:r>
          </w:p>
        </w:tc>
        <w:tc>
          <w:tcPr>
            <w:tcW w:w="2769"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both"/>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1.申请人无正当理由逾期不补正、行政机关不再处理其政府信息公开申请</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3"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2"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55" w:hRule="atLeast"/>
          <w:jc w:val="center"/>
        </w:trPr>
        <w:tc>
          <w:tcPr>
            <w:tcW w:w="660"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8"/>
                <w:szCs w:val="28"/>
              </w:rPr>
            </w:pPr>
          </w:p>
        </w:tc>
        <w:tc>
          <w:tcPr>
            <w:tcW w:w="810" w:type="dxa"/>
            <w:vMerge w:val="continue"/>
            <w:tcBorders>
              <w:top w:val="nil"/>
              <w:left w:val="nil"/>
              <w:bottom w:val="in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8"/>
                <w:szCs w:val="28"/>
              </w:rPr>
            </w:pPr>
          </w:p>
        </w:tc>
        <w:tc>
          <w:tcPr>
            <w:tcW w:w="2769"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both"/>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2.申请人逾期未按收费通知要求缴纳费用、行政机关不再处理其政府信息公开申请</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3"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2"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8"/>
                <w:szCs w:val="28"/>
              </w:rPr>
            </w:pPr>
          </w:p>
        </w:tc>
        <w:tc>
          <w:tcPr>
            <w:tcW w:w="810" w:type="dxa"/>
            <w:vMerge w:val="continue"/>
            <w:tcBorders>
              <w:top w:val="nil"/>
              <w:left w:val="nil"/>
              <w:bottom w:val="in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8"/>
                <w:szCs w:val="28"/>
              </w:rPr>
            </w:pPr>
          </w:p>
        </w:tc>
        <w:tc>
          <w:tcPr>
            <w:tcW w:w="2769"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3.其他</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3"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2"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8"/>
                <w:szCs w:val="28"/>
              </w:rPr>
            </w:pPr>
          </w:p>
        </w:tc>
        <w:tc>
          <w:tcPr>
            <w:tcW w:w="3579"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（七）总计</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3"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2"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52" w:hRule="atLeast"/>
          <w:jc w:val="center"/>
        </w:trPr>
        <w:tc>
          <w:tcPr>
            <w:tcW w:w="4239"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四、结转下年度继续办理</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3"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92"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w:t>
            </w:r>
          </w:p>
        </w:tc>
      </w:tr>
    </w:tbl>
    <w:p>
      <w:pPr>
        <w:pStyle w:val="7"/>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90" w:lineRule="exact"/>
        <w:ind w:firstLine="420"/>
        <w:jc w:val="both"/>
        <w:textAlignment w:val="auto"/>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color w:val="333333"/>
          <w:sz w:val="32"/>
          <w:szCs w:val="32"/>
          <w:shd w:val="clear" w:color="auto" w:fill="FFFFFF"/>
        </w:rPr>
        <w:t> </w:t>
      </w:r>
    </w:p>
    <w:p>
      <w:pPr>
        <w:pStyle w:val="7"/>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90" w:lineRule="exact"/>
        <w:ind w:firstLine="640" w:firstLineChars="200"/>
        <w:textAlignment w:val="auto"/>
        <w:rPr>
          <w:rFonts w:hint="default" w:ascii="方正黑体_GBK" w:hAnsi="方正黑体_GBK" w:eastAsia="方正黑体_GBK" w:cs="方正黑体_GBK"/>
          <w:b w:val="0"/>
          <w:bCs w:val="0"/>
          <w:color w:val="333333"/>
          <w:sz w:val="32"/>
          <w:szCs w:val="32"/>
          <w:shd w:val="clear" w:color="auto" w:fill="FFFFFF"/>
        </w:rPr>
      </w:pPr>
      <w:r>
        <w:rPr>
          <w:rFonts w:hint="default" w:ascii="方正黑体_GBK" w:hAnsi="方正黑体_GBK" w:eastAsia="方正黑体_GBK" w:cs="方正黑体_GBK"/>
          <w:b w:val="0"/>
          <w:bCs w:val="0"/>
          <w:color w:val="333333"/>
          <w:sz w:val="32"/>
          <w:szCs w:val="32"/>
          <w:shd w:val="clear" w:color="auto" w:fill="FFFFFF"/>
        </w:rPr>
        <w:t>四、政府信息公开行政复议、行政诉讼情况</w:t>
      </w:r>
    </w:p>
    <w:tbl>
      <w:tblPr>
        <w:tblStyle w:val="8"/>
        <w:tblW w:w="779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519"/>
        <w:gridCol w:w="519"/>
        <w:gridCol w:w="519"/>
        <w:gridCol w:w="519"/>
        <w:gridCol w:w="520"/>
        <w:gridCol w:w="519"/>
        <w:gridCol w:w="519"/>
        <w:gridCol w:w="520"/>
        <w:gridCol w:w="520"/>
        <w:gridCol w:w="520"/>
        <w:gridCol w:w="520"/>
        <w:gridCol w:w="520"/>
        <w:gridCol w:w="520"/>
        <w:gridCol w:w="520"/>
        <w:gridCol w:w="52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2596"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行政复议</w:t>
            </w:r>
          </w:p>
        </w:tc>
        <w:tc>
          <w:tcPr>
            <w:tcW w:w="5203"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51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结果维持</w:t>
            </w:r>
          </w:p>
        </w:tc>
        <w:tc>
          <w:tcPr>
            <w:tcW w:w="519"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结果</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纠正</w:t>
            </w:r>
          </w:p>
        </w:tc>
        <w:tc>
          <w:tcPr>
            <w:tcW w:w="519"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其他</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结果</w:t>
            </w:r>
          </w:p>
        </w:tc>
        <w:tc>
          <w:tcPr>
            <w:tcW w:w="519"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尚未</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审结</w:t>
            </w:r>
          </w:p>
        </w:tc>
        <w:tc>
          <w:tcPr>
            <w:tcW w:w="520"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总计</w:t>
            </w:r>
          </w:p>
        </w:tc>
        <w:tc>
          <w:tcPr>
            <w:tcW w:w="2598"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未经复议直接起诉</w:t>
            </w:r>
          </w:p>
        </w:tc>
        <w:tc>
          <w:tcPr>
            <w:tcW w:w="2605"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40" w:hRule="atLeast"/>
          <w:jc w:val="center"/>
        </w:trPr>
        <w:tc>
          <w:tcPr>
            <w:tcW w:w="51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8"/>
                <w:szCs w:val="28"/>
              </w:rPr>
            </w:pPr>
          </w:p>
        </w:tc>
        <w:tc>
          <w:tcPr>
            <w:tcW w:w="519"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8"/>
                <w:szCs w:val="28"/>
              </w:rPr>
            </w:pPr>
          </w:p>
        </w:tc>
        <w:tc>
          <w:tcPr>
            <w:tcW w:w="519"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8"/>
                <w:szCs w:val="28"/>
              </w:rPr>
            </w:pPr>
          </w:p>
        </w:tc>
        <w:tc>
          <w:tcPr>
            <w:tcW w:w="519"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8"/>
                <w:szCs w:val="28"/>
              </w:rPr>
            </w:pPr>
          </w:p>
        </w:tc>
        <w:tc>
          <w:tcPr>
            <w:tcW w:w="52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8"/>
                <w:szCs w:val="28"/>
              </w:rPr>
            </w:pPr>
          </w:p>
        </w:tc>
        <w:tc>
          <w:tcPr>
            <w:tcW w:w="51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结果</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维持</w:t>
            </w:r>
          </w:p>
        </w:tc>
        <w:tc>
          <w:tcPr>
            <w:tcW w:w="51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结果</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纠正</w:t>
            </w:r>
          </w:p>
        </w:tc>
        <w:tc>
          <w:tcPr>
            <w:tcW w:w="52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其他</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结果</w:t>
            </w:r>
          </w:p>
        </w:tc>
        <w:tc>
          <w:tcPr>
            <w:tcW w:w="52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尚未</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审结</w:t>
            </w:r>
          </w:p>
        </w:tc>
        <w:tc>
          <w:tcPr>
            <w:tcW w:w="52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color w:val="000000"/>
                <w:sz w:val="28"/>
                <w:szCs w:val="28"/>
              </w:rPr>
              <w:t>总计</w:t>
            </w:r>
          </w:p>
        </w:tc>
        <w:tc>
          <w:tcPr>
            <w:tcW w:w="52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结果</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维持</w:t>
            </w:r>
          </w:p>
        </w:tc>
        <w:tc>
          <w:tcPr>
            <w:tcW w:w="52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结果</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纠正</w:t>
            </w:r>
          </w:p>
        </w:tc>
        <w:tc>
          <w:tcPr>
            <w:tcW w:w="52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color w:val="000000"/>
                <w:sz w:val="28"/>
                <w:szCs w:val="28"/>
              </w:rPr>
              <w:t>其他</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color w:val="000000"/>
                <w:sz w:val="28"/>
                <w:szCs w:val="28"/>
              </w:rPr>
              <w:t>结果</w:t>
            </w:r>
          </w:p>
        </w:tc>
        <w:tc>
          <w:tcPr>
            <w:tcW w:w="52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尚未</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审结</w:t>
            </w:r>
          </w:p>
        </w:tc>
        <w:tc>
          <w:tcPr>
            <w:tcW w:w="52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color w:val="000000"/>
                <w:sz w:val="28"/>
                <w:szCs w:val="28"/>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08" w:hRule="atLeast"/>
          <w:jc w:val="center"/>
        </w:trPr>
        <w:tc>
          <w:tcPr>
            <w:tcW w:w="51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1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1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1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2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1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1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w:t>
            </w:r>
          </w:p>
        </w:tc>
        <w:tc>
          <w:tcPr>
            <w:tcW w:w="52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2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2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2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2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2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0 </w:t>
            </w:r>
          </w:p>
        </w:tc>
        <w:tc>
          <w:tcPr>
            <w:tcW w:w="52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w:t>
            </w:r>
          </w:p>
        </w:tc>
        <w:tc>
          <w:tcPr>
            <w:tcW w:w="52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w:t>
            </w:r>
          </w:p>
        </w:tc>
      </w:tr>
    </w:tbl>
    <w:p>
      <w:pPr>
        <w:pStyle w:val="7"/>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590" w:lineRule="exact"/>
        <w:ind w:firstLine="1134"/>
        <w:jc w:val="left"/>
        <w:textAlignment w:val="auto"/>
        <w:rPr>
          <w:rFonts w:hint="eastAsia" w:ascii="方正黑体_GBK" w:hAnsi="方正黑体_GBK" w:eastAsia="方正黑体_GBK" w:cs="方正黑体_GBK"/>
          <w:b w:val="0"/>
          <w:bCs/>
          <w:color w:val="auto"/>
          <w:sz w:val="32"/>
          <w:szCs w:val="32"/>
          <w:shd w:val="clear" w:color="auto" w:fill="FFFFFF"/>
        </w:rPr>
      </w:pPr>
      <w:r>
        <w:rPr>
          <w:rFonts w:hint="eastAsia" w:ascii="方正黑体_GBK" w:hAnsi="方正黑体_GBK" w:eastAsia="方正黑体_GBK" w:cs="方正黑体_GBK"/>
          <w:b w:val="0"/>
          <w:bCs/>
          <w:color w:val="auto"/>
          <w:sz w:val="32"/>
          <w:szCs w:val="32"/>
          <w:shd w:val="clear" w:color="auto" w:fill="FFFFFF"/>
        </w:rPr>
        <w:t>存在的主要问题及改进情况</w:t>
      </w:r>
    </w:p>
    <w:p>
      <w:pPr>
        <w:pStyle w:val="7"/>
        <w:keepNext w:val="0"/>
        <w:keepLines w:val="0"/>
        <w:pageBreakBefore w:val="0"/>
        <w:widowControl/>
        <w:numPr>
          <w:ilvl w:val="0"/>
          <w:numId w:val="0"/>
        </w:numPr>
        <w:shd w:val="clear" w:color="auto" w:fill="FFFFFF"/>
        <w:kinsoku/>
        <w:overflowPunct/>
        <w:topLinePunct w:val="0"/>
        <w:autoSpaceDE/>
        <w:autoSpaceDN/>
        <w:bidi w:val="0"/>
        <w:adjustRightInd/>
        <w:snapToGrid/>
        <w:spacing w:before="0" w:beforeAutospacing="0" w:after="0" w:afterAutospacing="0" w:line="590" w:lineRule="exact"/>
        <w:ind w:firstLine="640" w:firstLineChars="200"/>
        <w:jc w:val="both"/>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（一）存在的主要问题和困难</w:t>
      </w:r>
    </w:p>
    <w:p>
      <w:pPr>
        <w:pStyle w:val="7"/>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90" w:lineRule="exact"/>
        <w:ind w:firstLine="640"/>
        <w:jc w:val="both"/>
        <w:textAlignment w:val="auto"/>
        <w:rPr>
          <w:rFonts w:hint="default" w:ascii="Times New Roman" w:hAnsi="Times New Roman" w:eastAsia="方正仿宋_GBK" w:cs="Times New Roman"/>
          <w:color w:val="000000"/>
          <w:sz w:val="32"/>
          <w:szCs w:val="32"/>
          <w:shd w:val="clear" w:color="auto" w:fill="FFFFFF"/>
        </w:rPr>
      </w:pPr>
      <w:r>
        <w:rPr>
          <w:rFonts w:hint="default" w:ascii="Times New Roman" w:hAnsi="Times New Roman" w:eastAsia="方正仿宋_GBK" w:cs="Times New Roman"/>
          <w:color w:val="auto"/>
          <w:sz w:val="32"/>
          <w:szCs w:val="32"/>
          <w:shd w:val="clear" w:color="auto" w:fill="FFFFFF"/>
        </w:rPr>
        <w:t>一是</w:t>
      </w:r>
      <w:r>
        <w:rPr>
          <w:rFonts w:hint="default" w:ascii="Times New Roman" w:hAnsi="Times New Roman" w:eastAsia="方正仿宋_GBK" w:cs="Times New Roman"/>
          <w:color w:val="333333"/>
          <w:sz w:val="32"/>
          <w:szCs w:val="32"/>
          <w:shd w:val="clear" w:color="auto" w:fill="FFFFFF"/>
          <w:lang w:eastAsia="zh-CN"/>
        </w:rPr>
        <w:t>信息公开发布、审核等无法实现一岗一责，并且工作对政务公开业务知识掌握还不够全面</w:t>
      </w:r>
      <w:r>
        <w:rPr>
          <w:rFonts w:hint="default" w:ascii="Times New Roman" w:hAnsi="Times New Roman" w:eastAsia="方正仿宋_GBK" w:cs="Times New Roman"/>
          <w:color w:val="333333"/>
          <w:sz w:val="32"/>
          <w:szCs w:val="32"/>
          <w:shd w:val="clear" w:color="auto" w:fill="FFFFFF"/>
        </w:rPr>
        <w:t>。</w:t>
      </w:r>
      <w:r>
        <w:rPr>
          <w:rFonts w:hint="default" w:ascii="Times New Roman" w:hAnsi="Times New Roman" w:eastAsia="方正仿宋_GBK" w:cs="Times New Roman"/>
          <w:color w:val="000000"/>
          <w:sz w:val="32"/>
          <w:szCs w:val="32"/>
          <w:shd w:val="clear" w:color="auto" w:fill="FFFFFF"/>
        </w:rPr>
        <w:t>二是部分</w:t>
      </w:r>
      <w:r>
        <w:rPr>
          <w:rFonts w:hint="default" w:ascii="Times New Roman" w:hAnsi="Times New Roman" w:eastAsia="方正仿宋_GBK" w:cs="Times New Roman"/>
          <w:color w:val="000000"/>
          <w:sz w:val="32"/>
          <w:szCs w:val="32"/>
          <w:shd w:val="clear" w:color="auto" w:fill="FFFFFF"/>
          <w:lang w:eastAsia="zh-CN"/>
        </w:rPr>
        <w:t>信息公开</w:t>
      </w:r>
      <w:r>
        <w:rPr>
          <w:rFonts w:hint="default" w:ascii="Times New Roman" w:hAnsi="Times New Roman" w:eastAsia="方正仿宋_GBK" w:cs="Times New Roman"/>
          <w:color w:val="000000"/>
          <w:sz w:val="32"/>
          <w:szCs w:val="32"/>
          <w:shd w:val="clear" w:color="auto" w:fill="FFFFFF"/>
        </w:rPr>
        <w:t>内容更新</w:t>
      </w:r>
      <w:r>
        <w:rPr>
          <w:rFonts w:hint="default" w:ascii="Times New Roman" w:hAnsi="Times New Roman" w:eastAsia="方正仿宋_GBK" w:cs="Times New Roman"/>
          <w:color w:val="000000"/>
          <w:sz w:val="32"/>
          <w:szCs w:val="32"/>
          <w:shd w:val="clear" w:color="auto" w:fill="FFFFFF"/>
          <w:lang w:eastAsia="zh-CN"/>
        </w:rPr>
        <w:t>频率</w:t>
      </w:r>
      <w:r>
        <w:rPr>
          <w:rFonts w:hint="default" w:ascii="Times New Roman" w:hAnsi="Times New Roman" w:eastAsia="方正仿宋_GBK" w:cs="Times New Roman"/>
          <w:color w:val="000000"/>
          <w:sz w:val="32"/>
          <w:szCs w:val="32"/>
          <w:shd w:val="clear" w:color="auto" w:fill="FFFFFF"/>
        </w:rPr>
        <w:t>不及时，</w:t>
      </w:r>
      <w:r>
        <w:rPr>
          <w:rFonts w:hint="default" w:ascii="Times New Roman" w:hAnsi="Times New Roman" w:eastAsia="方正仿宋_GBK" w:cs="Times New Roman"/>
          <w:color w:val="000000"/>
          <w:sz w:val="32"/>
          <w:szCs w:val="32"/>
          <w:shd w:val="clear" w:color="auto" w:fill="FFFFFF"/>
          <w:lang w:eastAsia="zh-CN"/>
        </w:rPr>
        <w:t>未实现</w:t>
      </w:r>
      <w:r>
        <w:rPr>
          <w:rFonts w:hint="default" w:ascii="Times New Roman" w:hAnsi="Times New Roman" w:eastAsia="方正仿宋_GBK" w:cs="Times New Roman"/>
          <w:color w:val="000000"/>
          <w:sz w:val="32"/>
          <w:szCs w:val="32"/>
          <w:shd w:val="clear" w:color="auto" w:fill="FFFFFF"/>
        </w:rPr>
        <w:t>实时动态更新，</w:t>
      </w:r>
      <w:r>
        <w:rPr>
          <w:rFonts w:hint="default" w:ascii="Times New Roman" w:hAnsi="Times New Roman" w:eastAsia="方正仿宋_GBK" w:cs="Times New Roman"/>
          <w:color w:val="333333"/>
          <w:sz w:val="32"/>
          <w:szCs w:val="32"/>
          <w:shd w:val="clear" w:color="auto" w:fill="FFFFFF"/>
        </w:rPr>
        <w:t>主动公开意识</w:t>
      </w:r>
      <w:r>
        <w:rPr>
          <w:rFonts w:hint="default" w:ascii="Times New Roman" w:hAnsi="Times New Roman" w:eastAsia="方正仿宋_GBK" w:cs="Times New Roman"/>
          <w:color w:val="333333"/>
          <w:sz w:val="32"/>
          <w:szCs w:val="32"/>
          <w:shd w:val="clear" w:color="auto" w:fill="FFFFFF"/>
          <w:lang w:eastAsia="zh-CN"/>
        </w:rPr>
        <w:t>还需增强</w:t>
      </w:r>
      <w:r>
        <w:rPr>
          <w:rFonts w:hint="default" w:ascii="Times New Roman" w:hAnsi="Times New Roman" w:eastAsia="方正仿宋_GBK" w:cs="Times New Roman"/>
          <w:color w:val="333333"/>
          <w:sz w:val="32"/>
          <w:szCs w:val="32"/>
          <w:shd w:val="clear" w:color="auto" w:fill="FFFFFF"/>
        </w:rPr>
        <w:t>。三是</w:t>
      </w:r>
      <w:r>
        <w:rPr>
          <w:rFonts w:hint="default" w:ascii="Times New Roman" w:hAnsi="Times New Roman" w:eastAsia="方正仿宋_GBK" w:cs="Times New Roman"/>
          <w:color w:val="auto"/>
          <w:sz w:val="32"/>
          <w:szCs w:val="32"/>
          <w:shd w:val="clear" w:color="auto" w:fill="FFFFFF"/>
        </w:rPr>
        <w:t>政</w:t>
      </w:r>
      <w:r>
        <w:rPr>
          <w:rFonts w:hint="default" w:ascii="Times New Roman" w:hAnsi="Times New Roman" w:eastAsia="方正仿宋_GBK" w:cs="Times New Roman"/>
          <w:color w:val="333333"/>
          <w:sz w:val="32"/>
          <w:szCs w:val="32"/>
          <w:shd w:val="clear" w:color="auto" w:fill="FFFFFF"/>
        </w:rPr>
        <w:t>策解读</w:t>
      </w:r>
      <w:r>
        <w:rPr>
          <w:rFonts w:hint="default" w:ascii="Times New Roman" w:hAnsi="Times New Roman" w:eastAsia="方正仿宋_GBK" w:cs="Times New Roman"/>
          <w:color w:val="333333"/>
          <w:sz w:val="32"/>
          <w:szCs w:val="32"/>
          <w:shd w:val="clear" w:color="auto" w:fill="FFFFFF"/>
          <w:lang w:eastAsia="zh-CN"/>
        </w:rPr>
        <w:t>的内容</w:t>
      </w:r>
      <w:r>
        <w:rPr>
          <w:rFonts w:hint="default" w:ascii="Times New Roman" w:hAnsi="Times New Roman" w:eastAsia="方正仿宋_GBK" w:cs="Times New Roman"/>
          <w:color w:val="333333"/>
          <w:sz w:val="32"/>
          <w:szCs w:val="32"/>
          <w:shd w:val="clear" w:color="auto" w:fill="FFFFFF"/>
        </w:rPr>
        <w:t>形式单一，</w:t>
      </w:r>
      <w:r>
        <w:rPr>
          <w:rFonts w:hint="default" w:ascii="Times New Roman" w:hAnsi="Times New Roman" w:eastAsia="方正仿宋_GBK" w:cs="Times New Roman"/>
          <w:color w:val="333333"/>
          <w:sz w:val="32"/>
          <w:szCs w:val="32"/>
          <w:shd w:val="clear" w:color="auto" w:fill="FFFFFF"/>
          <w:lang w:eastAsia="zh-CN"/>
        </w:rPr>
        <w:t>工作内容和人员配置的丰富性还需要调整，缺少图片、视频等便于群众了解的形式解读。</w:t>
      </w:r>
    </w:p>
    <w:p>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jc w:val="left"/>
        <w:textAlignment w:val="auto"/>
        <w:rPr>
          <w:rFonts w:hint="default"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lang w:eastAsia="zh-CN"/>
        </w:rPr>
        <w:t>（二）</w:t>
      </w:r>
      <w:r>
        <w:rPr>
          <w:rFonts w:hint="default" w:ascii="方正楷体_GBK" w:hAnsi="方正楷体_GBK" w:eastAsia="方正楷体_GBK" w:cs="方正楷体_GBK"/>
          <w:b w:val="0"/>
          <w:bCs w:val="0"/>
          <w:color w:val="auto"/>
          <w:sz w:val="32"/>
          <w:szCs w:val="32"/>
          <w:shd w:val="clear" w:color="auto" w:fill="FFFFFF"/>
        </w:rPr>
        <w:t>具体的解决办法和改进措施</w:t>
      </w:r>
    </w:p>
    <w:p>
      <w:pPr>
        <w:pStyle w:val="7"/>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90" w:lineRule="exact"/>
        <w:ind w:firstLine="640" w:firstLineChars="200"/>
        <w:jc w:val="both"/>
        <w:textAlignment w:val="auto"/>
        <w:rPr>
          <w:rFonts w:hint="default" w:ascii="Times New Roman" w:hAnsi="Times New Roman" w:eastAsia="方正仿宋_GBK" w:cs="Times New Roman"/>
          <w:color w:val="000000"/>
          <w:sz w:val="32"/>
          <w:szCs w:val="32"/>
          <w:shd w:val="clear" w:color="auto" w:fill="FFFFFF"/>
        </w:rPr>
      </w:pPr>
      <w:r>
        <w:rPr>
          <w:rFonts w:hint="default" w:ascii="Times New Roman" w:hAnsi="Times New Roman" w:eastAsia="方正仿宋_GBK" w:cs="Times New Roman"/>
          <w:color w:val="000000"/>
          <w:sz w:val="32"/>
          <w:szCs w:val="32"/>
          <w:shd w:val="clear" w:color="auto" w:fill="FFFFFF"/>
          <w:lang w:eastAsia="zh-CN"/>
        </w:rPr>
        <w:t>强化</w:t>
      </w:r>
      <w:r>
        <w:rPr>
          <w:rFonts w:hint="default" w:ascii="Times New Roman" w:hAnsi="Times New Roman" w:eastAsia="方正仿宋_GBK" w:cs="Times New Roman"/>
          <w:color w:val="000000"/>
          <w:sz w:val="32"/>
          <w:szCs w:val="32"/>
          <w:shd w:val="clear" w:color="auto" w:fill="FFFFFF"/>
        </w:rPr>
        <w:t>组织领导，</w:t>
      </w:r>
      <w:r>
        <w:rPr>
          <w:rFonts w:hint="default" w:ascii="Times New Roman" w:hAnsi="Times New Roman" w:eastAsia="方正仿宋_GBK" w:cs="Times New Roman"/>
          <w:sz w:val="32"/>
          <w:szCs w:val="32"/>
        </w:rPr>
        <w:t>加强日常管理工作</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color w:val="000000"/>
          <w:sz w:val="32"/>
          <w:szCs w:val="32"/>
          <w:shd w:val="clear" w:color="auto" w:fill="FFFFFF"/>
          <w:lang w:eastAsia="zh-CN"/>
        </w:rPr>
        <w:t>提高</w:t>
      </w:r>
      <w:r>
        <w:rPr>
          <w:rFonts w:hint="default" w:ascii="Times New Roman" w:hAnsi="Times New Roman" w:eastAsia="方正仿宋_GBK" w:cs="Times New Roman"/>
          <w:color w:val="000000"/>
          <w:sz w:val="32"/>
          <w:szCs w:val="32"/>
          <w:shd w:val="clear" w:color="auto" w:fill="FFFFFF"/>
        </w:rPr>
        <w:t>政务公开人员</w:t>
      </w:r>
      <w:r>
        <w:rPr>
          <w:rFonts w:hint="default" w:ascii="Times New Roman" w:hAnsi="Times New Roman" w:eastAsia="方正仿宋_GBK" w:cs="Times New Roman"/>
          <w:color w:val="000000"/>
          <w:sz w:val="32"/>
          <w:szCs w:val="32"/>
          <w:shd w:val="clear" w:color="auto" w:fill="FFFFFF"/>
          <w:lang w:eastAsia="zh-CN"/>
        </w:rPr>
        <w:t>专业</w:t>
      </w:r>
      <w:r>
        <w:rPr>
          <w:rFonts w:hint="default" w:ascii="Times New Roman" w:hAnsi="Times New Roman" w:eastAsia="方正仿宋_GBK" w:cs="Times New Roman"/>
          <w:color w:val="000000"/>
          <w:sz w:val="32"/>
          <w:szCs w:val="32"/>
          <w:shd w:val="clear" w:color="auto" w:fill="FFFFFF"/>
        </w:rPr>
        <w:t>素</w:t>
      </w:r>
      <w:r>
        <w:rPr>
          <w:rFonts w:hint="default" w:ascii="Times New Roman" w:hAnsi="Times New Roman" w:eastAsia="方正仿宋_GBK" w:cs="Times New Roman"/>
          <w:color w:val="000000"/>
          <w:sz w:val="32"/>
          <w:szCs w:val="32"/>
          <w:shd w:val="clear" w:color="auto" w:fill="FFFFFF"/>
          <w:lang w:eastAsia="zh-CN"/>
        </w:rPr>
        <w:t>养和</w:t>
      </w:r>
      <w:r>
        <w:rPr>
          <w:rFonts w:hint="default" w:ascii="Times New Roman" w:hAnsi="Times New Roman" w:eastAsia="方正仿宋_GBK" w:cs="Times New Roman"/>
          <w:color w:val="000000"/>
          <w:sz w:val="32"/>
          <w:szCs w:val="32"/>
          <w:shd w:val="clear" w:color="auto" w:fill="FFFFFF"/>
        </w:rPr>
        <w:t>政务公开内容质量。</w:t>
      </w:r>
      <w:r>
        <w:rPr>
          <w:rFonts w:hint="default" w:ascii="Times New Roman" w:hAnsi="Times New Roman" w:eastAsia="方正仿宋_GBK" w:cs="Times New Roman"/>
          <w:sz w:val="32"/>
          <w:szCs w:val="32"/>
        </w:rPr>
        <w:t>在政策解读方面</w:t>
      </w:r>
      <w:r>
        <w:rPr>
          <w:rFonts w:hint="default" w:ascii="Times New Roman" w:hAnsi="Times New Roman" w:eastAsia="方正仿宋_GBK" w:cs="Times New Roman"/>
          <w:color w:val="000000"/>
          <w:sz w:val="32"/>
          <w:szCs w:val="32"/>
          <w:shd w:val="clear" w:color="auto" w:fill="FFFFFF"/>
        </w:rPr>
        <w:t>多采用灵活多样的音视频、图片等通俗易懂形式进行解读。</w:t>
      </w:r>
    </w:p>
    <w:p>
      <w:pPr>
        <w:pStyle w:val="7"/>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90" w:lineRule="exact"/>
        <w:ind w:firstLine="640"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推动政府信息公开工作再上新台阶</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着力健全政府信息公开工作制度。完善监督检查、政策解读等工作制度，形成政务公开的制度体系。着力丰富政府信息公开形式</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完善政策法系，向社会披露和解读公众关注度高、公益性强、涉及面广的重要决策等政府信息，同时注重提升丰富性，多采用图表、图片形式发布。着力充实政府信息公开内容。政府信息内容多而杂，分散于单位内部，不仅要做好信息归集、整理工作，同时要拓展受众面，让更多的人知晓政府信息工作。进一步丰富政务公开方式。以促进招商引资为导向，</w:t>
      </w:r>
      <w:r>
        <w:rPr>
          <w:rFonts w:hint="default" w:ascii="Times New Roman" w:hAnsi="Times New Roman" w:eastAsia="方正仿宋_GBK" w:cs="Times New Roman"/>
          <w:color w:val="000000"/>
          <w:sz w:val="32"/>
          <w:szCs w:val="32"/>
          <w:highlight w:val="none"/>
          <w:shd w:val="clear" w:color="auto" w:fill="FFFFFF"/>
        </w:rPr>
        <w:t>优化营商环境</w:t>
      </w:r>
      <w:r>
        <w:rPr>
          <w:rFonts w:hint="default" w:ascii="Times New Roman" w:hAnsi="Times New Roman" w:eastAsia="方正仿宋_GBK" w:cs="Times New Roman"/>
          <w:sz w:val="32"/>
          <w:szCs w:val="32"/>
          <w:highlight w:val="none"/>
        </w:rPr>
        <w:t>，在不断深化政府信息公开内容的同时，努力做到公开方式的灵活多样。</w:t>
      </w:r>
    </w:p>
    <w:p>
      <w:pPr>
        <w:pStyle w:val="7"/>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90" w:lineRule="exact"/>
        <w:ind w:firstLine="640" w:firstLineChars="200"/>
        <w:jc w:val="both"/>
        <w:textAlignment w:val="auto"/>
        <w:rPr>
          <w:rFonts w:hint="eastAsia" w:ascii="方正黑体_GBK" w:hAnsi="方正黑体_GBK" w:eastAsia="方正黑体_GBK" w:cs="方正黑体_GBK"/>
          <w:b w:val="0"/>
          <w:bCs/>
          <w:color w:val="333333"/>
          <w:sz w:val="32"/>
          <w:szCs w:val="32"/>
        </w:rPr>
      </w:pPr>
      <w:r>
        <w:rPr>
          <w:rFonts w:hint="eastAsia" w:ascii="方正黑体_GBK" w:hAnsi="方正黑体_GBK" w:eastAsia="方正黑体_GBK" w:cs="方正黑体_GBK"/>
          <w:b w:val="0"/>
          <w:bCs/>
          <w:color w:val="000000"/>
          <w:sz w:val="32"/>
          <w:szCs w:val="32"/>
          <w:shd w:val="clear" w:color="auto" w:fill="FFFFFF"/>
        </w:rPr>
        <w:t> 六、其他需要报告的事项</w:t>
      </w:r>
    </w:p>
    <w:p>
      <w:pPr>
        <w:keepNext w:val="0"/>
        <w:keepLines w:val="0"/>
        <w:pageBreakBefore w:val="0"/>
        <w:kinsoku/>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i w:val="0"/>
          <w:iCs w:val="0"/>
          <w:caps w:val="0"/>
          <w:color w:val="333333"/>
          <w:spacing w:val="0"/>
          <w:sz w:val="32"/>
          <w:szCs w:val="32"/>
          <w:shd w:val="clear" w:fill="FFFFFF"/>
        </w:rPr>
      </w:pPr>
      <w:r>
        <w:rPr>
          <w:rFonts w:hint="default" w:ascii="Times New Roman" w:hAnsi="Times New Roman" w:eastAsia="方正仿宋_GBK" w:cs="Times New Roman"/>
          <w:i w:val="0"/>
          <w:iCs w:val="0"/>
          <w:caps w:val="0"/>
          <w:color w:val="333333"/>
          <w:spacing w:val="0"/>
          <w:sz w:val="32"/>
          <w:szCs w:val="32"/>
          <w:shd w:val="clear" w:fill="FFFFFF"/>
          <w:lang w:eastAsia="zh-CN"/>
        </w:rPr>
        <w:t>我中心</w:t>
      </w:r>
      <w:r>
        <w:rPr>
          <w:rFonts w:hint="default" w:ascii="Times New Roman" w:hAnsi="Times New Roman" w:eastAsia="方正仿宋_GBK" w:cs="Times New Roman"/>
          <w:i w:val="0"/>
          <w:iCs w:val="0"/>
          <w:caps w:val="0"/>
          <w:color w:val="333333"/>
          <w:spacing w:val="0"/>
          <w:sz w:val="32"/>
          <w:szCs w:val="32"/>
          <w:shd w:val="clear" w:fill="FFFFFF"/>
        </w:rPr>
        <w:t>本年度收取信息处理费情况：按照《国务院办公厅关于印发&lt;政府信息公开信息处理费管理办法&gt;的通知》(国办函〔2020〕109号)和《安徽省财政厅安徽省发展和改革委员会关于政府信息公开信息处理费用有关事项的通知》（皖财综[2021]28号）规定的按件、按量收费标准，本年度没有产生信息公开处理费。</w:t>
      </w:r>
    </w:p>
    <w:p>
      <w:pPr>
        <w:pStyle w:val="2"/>
        <w:rPr>
          <w:rFonts w:hint="default" w:ascii="Times New Roman" w:hAnsi="Times New Roman" w:eastAsia="方正仿宋_GBK" w:cs="Times New Roman"/>
          <w:i w:val="0"/>
          <w:iCs w:val="0"/>
          <w:caps w:val="0"/>
          <w:color w:val="333333"/>
          <w:spacing w:val="0"/>
          <w:sz w:val="32"/>
          <w:szCs w:val="32"/>
          <w:shd w:val="clear" w:fill="FFFFFF"/>
        </w:rPr>
      </w:pPr>
    </w:p>
    <w:p>
      <w:pPr>
        <w:jc w:val="right"/>
        <w:rPr>
          <w:rFonts w:hint="default"/>
          <w:lang w:val="en-US" w:eastAsia="zh-CN"/>
        </w:rPr>
      </w:pPr>
      <w:r>
        <w:rPr>
          <w:rFonts w:hint="default" w:ascii="Times New Roman" w:hAnsi="Times New Roman" w:eastAsia="方正仿宋_GBK" w:cs="Times New Roman"/>
          <w:b w:val="0"/>
          <w:bCs w:val="0"/>
          <w:sz w:val="32"/>
          <w:szCs w:val="32"/>
          <w:shd w:val="clear" w:color="auto" w:fill="FFFFFF"/>
          <w:lang w:val="en-US" w:eastAsia="zh-CN"/>
        </w:rPr>
        <w:t>2023年1月18日</w:t>
      </w:r>
    </w:p>
    <w:sectPr>
      <w:headerReference r:id="rId5" w:type="first"/>
      <w:footerReference r:id="rId8" w:type="first"/>
      <w:headerReference r:id="rId3" w:type="default"/>
      <w:footerReference r:id="rId6" w:type="default"/>
      <w:headerReference r:id="rId4" w:type="even"/>
      <w:footerReference r:id="rId7" w:type="even"/>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top w:val="none" w:color="auto" w:sz="0" w:space="0"/>
        <w:left w:val="none" w:color="auto" w:sz="0" w:space="0"/>
        <w:bottom w:val="none" w:color="auto" w:sz="0" w:space="0"/>
        <w:right w:val="none" w:color="auto" w:sz="0" w:space="0"/>
      </w:pBdr>
      <w:ind w:left="4788" w:leftChars="2280" w:firstLine="3600" w:firstLineChars="2000"/>
      <w:rPr>
        <w:rFonts w:eastAsia="仿宋"/>
        <w:sz w:val="32"/>
        <w:szCs w:val="48"/>
      </w:rP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- 1 -</w:t>
                          </w:r>
                          <w:r>
                            <w:rPr>
                              <w:rFonts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pPr>
                      <w:pStyle w:val="5"/>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- 1 -</w:t>
                    </w:r>
                    <w:r>
                      <w:rPr>
                        <w:rFonts w:ascii="宋体" w:hAnsi="宋体" w:cs="宋体"/>
                        <w:sz w:val="28"/>
                        <w:szCs w:val="28"/>
                      </w:rPr>
                      <w:fldChar w:fldCharType="end"/>
                    </w:r>
                  </w:p>
                </w:txbxContent>
              </v:textbox>
            </v:shape>
          </w:pict>
        </mc:Fallback>
      </mc:AlternateContent>
    </w:r>
    <w:r>
      <w:rPr>
        <w:rFonts w:eastAsia="仿宋"/>
        <w:sz w:val="32"/>
        <w:szCs w:val="48"/>
      </w:rPr>
      <w:t xml:space="preserve">  </w:t>
    </w:r>
  </w:p>
  <w:p>
    <w:pPr>
      <w:pStyle w:val="6"/>
      <w:pBdr>
        <w:top w:val="none" w:color="auto" w:sz="0" w:space="0"/>
        <w:left w:val="none" w:color="auto" w:sz="0" w:space="0"/>
        <w:bottom w:val="none" w:color="auto" w:sz="0" w:space="0"/>
        <w:right w:val="none" w:color="auto" w:sz="0" w:space="0"/>
      </w:pBdr>
      <w:wordWrap w:val="0"/>
      <w:ind w:left="4788" w:leftChars="2280" w:firstLine="3600" w:firstLineChars="2000"/>
      <w:jc w:val="right"/>
      <w:rPr>
        <w:rFonts w:eastAsia="仿宋"/>
        <w:color w:val="FAFAFA"/>
        <w:sz w:val="32"/>
        <w:szCs w:val="48"/>
      </w:rPr>
    </w:pP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z&#10;p6XR1AAAAAY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eastAsia="仿宋"/>
        <w:color w:val="FAFAFA"/>
        <w:sz w:val="32"/>
        <w:szCs w:val="48"/>
      </w:rPr>
      <w:t>X</w:t>
    </w:r>
  </w:p>
  <w:p>
    <w:pPr>
      <w:pStyle w:val="6"/>
      <w:pBdr>
        <w:top w:val="none" w:color="auto" w:sz="0" w:space="0"/>
        <w:left w:val="none" w:color="auto" w:sz="0" w:space="0"/>
        <w:bottom w:val="none" w:color="auto" w:sz="0" w:space="0"/>
        <w:right w:val="none" w:color="auto" w:sz="0" w:space="0"/>
      </w:pBdr>
      <w:wordWrap w:val="0"/>
      <w:jc w:val="right"/>
      <w:rPr>
        <w:rFonts w:ascii="宋体" w:cs="宋体"/>
        <w:b/>
        <w:bCs/>
        <w:color w:val="005192"/>
        <w:sz w:val="32"/>
        <w:szCs w:val="32"/>
      </w:rPr>
    </w:pPr>
    <w:r>
      <w:rPr>
        <w:rFonts w:ascii="宋体" w:hAnsi="宋体" w:cs="宋体"/>
        <w:b/>
        <w:bCs/>
        <w:color w:val="005192"/>
        <w:sz w:val="32"/>
        <w:szCs w:val="32"/>
      </w:rPr>
      <w:t xml:space="preserve">     </w:t>
    </w:r>
  </w:p>
  <w:p>
    <w:pPr>
      <w:pStyle w:val="6"/>
      <w:pBdr>
        <w:top w:val="none" w:color="auto" w:sz="0" w:space="0"/>
        <w:left w:val="none" w:color="auto" w:sz="0" w:space="0"/>
        <w:bottom w:val="none" w:color="auto" w:sz="0" w:space="0"/>
        <w:right w:val="none" w:color="auto" w:sz="0" w:space="0"/>
      </w:pBdr>
      <w:wordWrap w:val="0"/>
      <w:ind w:left="4788" w:leftChars="2280" w:firstLine="5622" w:firstLineChars="2000"/>
      <w:jc w:val="right"/>
      <w:rPr>
        <w:rFonts w:ascii="宋体" w:cs="宋体"/>
        <w:b/>
        <w:bCs/>
        <w:color w:val="005192"/>
        <w:sz w:val="28"/>
        <w:szCs w:val="4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top w:val="none" w:color="auto" w:sz="0" w:space="0"/>
        <w:left w:val="none" w:color="auto" w:sz="0" w:space="0"/>
        <w:bottom w:val="none" w:color="auto" w:sz="0" w:space="0"/>
        <w:right w:val="none" w:color="auto" w:sz="0" w:space="0"/>
      </w:pBdr>
      <w:textAlignment w:val="center"/>
      <w:rPr>
        <w:rFonts w:ascii="宋体" w:cs="宋体"/>
        <w:b/>
        <w:bCs/>
        <w:color w:val="005192"/>
        <w:sz w:val="32"/>
      </w:rPr>
    </w:pPr>
    <w: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pSLLs/cBAADLAwAADgAAAGRycy9lMm9Eb2MueG1srVNNjtMw&#10;FN4jcQfLe5o005YSNZ3FVMMGQSXgAK5jJ5b8Jz9P016CCyCxgxVL9tyG4Rg8O2EY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74g+EDxJfCGZKChmplE31Ws+MriNgXS3+XpGXrrpXW+Qq1JUNDK/wSNENfSvQD&#10;hsYjN7AdJUx3aHgeQ4YEp1WbticgCN3hSgdyZMkm5XL+okqksd1fZan3jkE/1uXUaCCjIr4JrQxy&#10;LtM37dY2oYvsw4lBEnKULkUH156zokWa4R3nppMfk4nuzzG+/wa3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UR0DW1QAAAAkBAAAPAAAAAAAAAAEAIAAAACIAAABkcnMvZG93bnJldi54bWxQSwEC&#10;FAAUAAAACACHTuJApSLLs/cBAADLAwAADgAAAAAAAAABACAAAAAkAQAAZHJzL2Uyb0RvYy54bWxQ&#10;SwUGAAAAAAYABgBZAQAAjQUAAAAA&#10;">
              <v:fill on="f" focussize="0,0"/>
              <v:stroke weight="1.75pt" color="#005192" miterlimit="8" joinstyle="miter"/>
              <v:imagedata o:title=""/>
              <o:lock v:ext="edit" aspectratio="f"/>
            </v:line>
          </w:pict>
        </mc:Fallback>
      </mc:AlternateContent>
    </w:r>
  </w:p>
  <w:p>
    <w:pPr>
      <w:pStyle w:val="6"/>
      <w:pBdr>
        <w:top w:val="none" w:color="auto" w:sz="0" w:space="0"/>
        <w:left w:val="none" w:color="auto" w:sz="0" w:space="0"/>
        <w:bottom w:val="none" w:color="auto" w:sz="0" w:space="0"/>
        <w:right w:val="none" w:color="auto" w:sz="0" w:space="0"/>
      </w:pBdr>
      <w:textAlignment w:val="center"/>
      <w:rPr>
        <w:rFonts w:ascii="宋体" w:cs="宋体"/>
        <w:b/>
        <w:bCs/>
        <w:color w:val="005192"/>
        <w:sz w:val="32"/>
        <w:szCs w:val="3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top w:val="none" w:color="auto" w:sz="0" w:space="0"/>
        <w:left w:val="none" w:color="auto" w:sz="0" w:space="0"/>
        <w:bottom w:val="none" w:color="auto" w:sz="0" w:space="0"/>
        <w:righ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09417"/>
    <w:multiLevelType w:val="singleLevel"/>
    <w:tmpl w:val="BB609417"/>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dit="readOnly" w:formatting="1" w:enforcement="1" w:cryptProviderType="rsaFull" w:cryptAlgorithmClass="hash" w:cryptAlgorithmType="typeAny" w:cryptAlgorithmSid="4" w:cryptSpinCount="0" w:hash="qP9uJ9Bs9GDCHaikObK1Zi9KZ6k=" w:salt="SFnp0sygrJf4MTfVw6pMpw=="/>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kMjNkNzkwMjczZDJiOTY1NjhhMDI4OWE0ZTY5YzAifQ=="/>
  </w:docVars>
  <w:rsids>
    <w:rsidRoot w:val="008636E4"/>
    <w:rsid w:val="000A1219"/>
    <w:rsid w:val="00130564"/>
    <w:rsid w:val="00196055"/>
    <w:rsid w:val="001F5887"/>
    <w:rsid w:val="00225F52"/>
    <w:rsid w:val="00253574"/>
    <w:rsid w:val="00267D21"/>
    <w:rsid w:val="002C41DE"/>
    <w:rsid w:val="00346D3B"/>
    <w:rsid w:val="003C2F1C"/>
    <w:rsid w:val="003E31E9"/>
    <w:rsid w:val="004127A1"/>
    <w:rsid w:val="0047359C"/>
    <w:rsid w:val="004B290E"/>
    <w:rsid w:val="00523AEC"/>
    <w:rsid w:val="005A01CD"/>
    <w:rsid w:val="005B3913"/>
    <w:rsid w:val="00604169"/>
    <w:rsid w:val="00644E2F"/>
    <w:rsid w:val="00670077"/>
    <w:rsid w:val="007C1F5C"/>
    <w:rsid w:val="008636E4"/>
    <w:rsid w:val="008B2913"/>
    <w:rsid w:val="008F0FD5"/>
    <w:rsid w:val="00930F3A"/>
    <w:rsid w:val="00944F2D"/>
    <w:rsid w:val="00A04480"/>
    <w:rsid w:val="00A13528"/>
    <w:rsid w:val="00A21817"/>
    <w:rsid w:val="00A32194"/>
    <w:rsid w:val="00A921B2"/>
    <w:rsid w:val="00A9328F"/>
    <w:rsid w:val="00AE66A0"/>
    <w:rsid w:val="00B13A40"/>
    <w:rsid w:val="00B727A4"/>
    <w:rsid w:val="00D01A90"/>
    <w:rsid w:val="00D1420D"/>
    <w:rsid w:val="00D84615"/>
    <w:rsid w:val="00DA3360"/>
    <w:rsid w:val="00DA63F0"/>
    <w:rsid w:val="00E37FAE"/>
    <w:rsid w:val="00F02CE4"/>
    <w:rsid w:val="00F600A8"/>
    <w:rsid w:val="00F82BF8"/>
    <w:rsid w:val="016C4255"/>
    <w:rsid w:val="03ED083E"/>
    <w:rsid w:val="08844E22"/>
    <w:rsid w:val="08A532B7"/>
    <w:rsid w:val="097509D5"/>
    <w:rsid w:val="0B7B4B4F"/>
    <w:rsid w:val="164E13A5"/>
    <w:rsid w:val="170874D6"/>
    <w:rsid w:val="179A2972"/>
    <w:rsid w:val="1D582551"/>
    <w:rsid w:val="1D993054"/>
    <w:rsid w:val="22B1460E"/>
    <w:rsid w:val="2EB722F2"/>
    <w:rsid w:val="31BF5B60"/>
    <w:rsid w:val="36014753"/>
    <w:rsid w:val="37256EEF"/>
    <w:rsid w:val="3DA02AA0"/>
    <w:rsid w:val="3DE851AA"/>
    <w:rsid w:val="444A2B6A"/>
    <w:rsid w:val="47330DF7"/>
    <w:rsid w:val="489130C1"/>
    <w:rsid w:val="490D40A6"/>
    <w:rsid w:val="4A4041CF"/>
    <w:rsid w:val="4ACE4B79"/>
    <w:rsid w:val="5B6608E2"/>
    <w:rsid w:val="63FC166F"/>
    <w:rsid w:val="698A4B0F"/>
    <w:rsid w:val="6A7F327D"/>
    <w:rsid w:val="6B6C2812"/>
    <w:rsid w:val="6BA02B23"/>
    <w:rsid w:val="6E594096"/>
    <w:rsid w:val="71E30A47"/>
    <w:rsid w:val="7286348A"/>
    <w:rsid w:val="75A54340"/>
    <w:rsid w:val="76BA3F27"/>
    <w:rsid w:val="7BC96F6D"/>
    <w:rsid w:val="7D12580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9" w:name="heading 2" w:locked="1"/>
    <w:lsdException w:qFormat="1" w:unhideWhenUsed="0" w:uiPriority="0" w:semiHidden="0"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0"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99" w:semiHidden="0" w:name="Strong"/>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locked/>
    <w:uiPriority w:val="0"/>
    <w:pPr>
      <w:spacing w:before="100" w:beforeAutospacing="1" w:after="100" w:afterAutospacing="1"/>
      <w:jc w:val="left"/>
      <w:outlineLvl w:val="0"/>
    </w:pPr>
    <w:rPr>
      <w:rFonts w:hint="eastAsia" w:ascii="宋体" w:hAnsi="宋体"/>
      <w:b/>
      <w:kern w:val="44"/>
      <w:sz w:val="48"/>
      <w:szCs w:val="48"/>
    </w:rPr>
  </w:style>
  <w:style w:type="paragraph" w:styleId="2">
    <w:name w:val="heading 3"/>
    <w:basedOn w:val="1"/>
    <w:next w:val="1"/>
    <w:qFormat/>
    <w:locked/>
    <w:uiPriority w:val="0"/>
    <w:pPr>
      <w:keepNext/>
      <w:keepLines/>
      <w:spacing w:before="260" w:after="260" w:line="415" w:lineRule="auto"/>
      <w:outlineLvl w:val="2"/>
    </w:pPr>
    <w:rPr>
      <w:b/>
      <w:bCs/>
      <w:sz w:val="32"/>
      <w:szCs w:val="32"/>
    </w:rPr>
  </w:style>
  <w:style w:type="character" w:default="1" w:styleId="10">
    <w:name w:val="Default Paragraph Font"/>
    <w:link w:val="11"/>
    <w:semiHidden/>
    <w:qFormat/>
    <w:uiPriority w:val="99"/>
    <w:rPr>
      <w:rFonts w:ascii="宋体" w:hAnsi="宋体" w:cs="Times New Roman"/>
      <w:b/>
      <w:sz w:val="28"/>
      <w:szCs w:val="28"/>
    </w:rPr>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4"/>
    <w:qFormat/>
    <w:uiPriority w:val="99"/>
    <w:pPr>
      <w:jc w:val="left"/>
    </w:pPr>
  </w:style>
  <w:style w:type="paragraph" w:styleId="5">
    <w:name w:val="footer"/>
    <w:basedOn w:val="1"/>
    <w:link w:val="15"/>
    <w:qFormat/>
    <w:uiPriority w:val="99"/>
    <w:pPr>
      <w:tabs>
        <w:tab w:val="center" w:pos="4153"/>
        <w:tab w:val="right" w:pos="8306"/>
      </w:tabs>
      <w:snapToGrid w:val="0"/>
      <w:jc w:val="left"/>
    </w:pPr>
    <w:rPr>
      <w:sz w:val="18"/>
    </w:rPr>
  </w:style>
  <w:style w:type="paragraph" w:styleId="6">
    <w:name w:val="header"/>
    <w:basedOn w:val="1"/>
    <w:link w:val="16"/>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99"/>
    <w:pPr>
      <w:spacing w:beforeAutospacing="1" w:afterAutospacing="1"/>
      <w:jc w:val="left"/>
    </w:pPr>
    <w:rPr>
      <w:kern w:val="0"/>
      <w:sz w:val="24"/>
    </w:rPr>
  </w:style>
  <w:style w:type="table" w:styleId="9">
    <w:name w:val="Table Grid"/>
    <w:basedOn w:val="8"/>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Char"/>
    <w:basedOn w:val="1"/>
    <w:link w:val="10"/>
    <w:qFormat/>
    <w:uiPriority w:val="0"/>
    <w:pPr>
      <w:spacing w:line="360" w:lineRule="auto"/>
    </w:pPr>
    <w:rPr>
      <w:rFonts w:ascii="宋体" w:hAnsi="宋体" w:cs="Times New Roman"/>
      <w:b/>
      <w:sz w:val="28"/>
      <w:szCs w:val="28"/>
    </w:rPr>
  </w:style>
  <w:style w:type="character" w:styleId="12">
    <w:name w:val="Strong"/>
    <w:basedOn w:val="10"/>
    <w:qFormat/>
    <w:uiPriority w:val="99"/>
    <w:rPr>
      <w:rFonts w:cs="Times New Roman"/>
      <w:bCs/>
    </w:rPr>
  </w:style>
  <w:style w:type="character" w:styleId="13">
    <w:name w:val="page number"/>
    <w:basedOn w:val="10"/>
    <w:qFormat/>
    <w:locked/>
    <w:uiPriority w:val="0"/>
  </w:style>
  <w:style w:type="character" w:customStyle="1" w:styleId="14">
    <w:name w:val="Comment Text Char"/>
    <w:basedOn w:val="10"/>
    <w:link w:val="4"/>
    <w:semiHidden/>
    <w:qFormat/>
    <w:locked/>
    <w:uiPriority w:val="99"/>
    <w:rPr>
      <w:rFonts w:cs="Times New Roman"/>
      <w:sz w:val="24"/>
      <w:szCs w:val="24"/>
    </w:rPr>
  </w:style>
  <w:style w:type="character" w:customStyle="1" w:styleId="15">
    <w:name w:val="Footer Char"/>
    <w:basedOn w:val="10"/>
    <w:link w:val="5"/>
    <w:semiHidden/>
    <w:qFormat/>
    <w:locked/>
    <w:uiPriority w:val="99"/>
    <w:rPr>
      <w:rFonts w:cs="Times New Roman"/>
      <w:sz w:val="18"/>
      <w:szCs w:val="18"/>
    </w:rPr>
  </w:style>
  <w:style w:type="character" w:customStyle="1" w:styleId="16">
    <w:name w:val="Header Char"/>
    <w:basedOn w:val="10"/>
    <w:link w:val="6"/>
    <w:semiHidden/>
    <w:qFormat/>
    <w:locked/>
    <w:uiPriority w:val="99"/>
    <w:rPr>
      <w:rFonts w:cs="Times New Roman"/>
      <w:sz w:val="18"/>
      <w:szCs w:val="18"/>
    </w:rPr>
  </w:style>
  <w:style w:type="paragraph" w:customStyle="1" w:styleId="17">
    <w:name w:val="p0"/>
    <w:basedOn w:val="1"/>
    <w:qFormat/>
    <w:uiPriority w:val="99"/>
    <w:pPr>
      <w:widowControl/>
    </w:pPr>
    <w:rPr>
      <w:rFonts w:cs="宋体"/>
      <w:kern w:val="0"/>
      <w:szCs w:val="32"/>
    </w:rPr>
  </w:style>
  <w:style w:type="paragraph" w:customStyle="1" w:styleId="18">
    <w:name w:val="TableOfAuthoring"/>
    <w:basedOn w:val="1"/>
    <w:next w:val="1"/>
    <w:qFormat/>
    <w:uiPriority w:val="0"/>
    <w:pPr>
      <w:suppressAutoHyphens/>
      <w:ind w:left="420" w:leftChars="200"/>
      <w:textAlignment w:val="baseline"/>
    </w:pPr>
    <w:rPr>
      <w:rFonts w:ascii="Calibri" w:hAnsi="Calibri" w:cs="Calibri"/>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8</Pages>
  <Words>2973</Words>
  <Characters>3092</Characters>
  <Lines>0</Lines>
  <Paragraphs>0</Paragraphs>
  <TotalTime>64</TotalTime>
  <ScaleCrop>false</ScaleCrop>
  <LinksUpToDate>false</LinksUpToDate>
  <CharactersWithSpaces>3276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2022-11-18T05:15:00Z</dcterms:created>
  <dc:creator>Administrator</dc:creator>
  <cp:lastModifiedBy>Administrator</cp:lastModifiedBy>
  <dcterms:modified xsi:type="dcterms:W3CDTF">2023-01-18T05:24:51Z</dcterms:modified>
  <dc:title>淮南市人民政府办公室</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32EDBA2A311440E8B6E7F370D3CD2033</vt:lpwstr>
  </property>
</Properties>
</file>