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ascii="微软雅黑" w:hAnsi="微软雅黑" w:eastAsia="微软雅黑" w:cs="微软雅黑"/>
          <w:b/>
          <w:bCs/>
          <w:i w:val="0"/>
          <w:iCs w:val="0"/>
          <w:caps w:val="0"/>
          <w:color w:val="333333"/>
          <w:spacing w:val="0"/>
          <w:sz w:val="45"/>
          <w:szCs w:val="45"/>
        </w:rPr>
      </w:pPr>
      <w:bookmarkStart w:id="0" w:name="_GoBack"/>
      <w:r>
        <w:rPr>
          <w:rFonts w:hint="eastAsia" w:ascii="微软雅黑" w:hAnsi="微软雅黑" w:eastAsia="微软雅黑" w:cs="微软雅黑"/>
          <w:b/>
          <w:bCs/>
          <w:i w:val="0"/>
          <w:iCs w:val="0"/>
          <w:caps w:val="0"/>
          <w:color w:val="333333"/>
          <w:spacing w:val="0"/>
          <w:sz w:val="45"/>
          <w:szCs w:val="45"/>
          <w:bdr w:val="none" w:color="auto" w:sz="0" w:space="0"/>
          <w:shd w:val="clear" w:fill="FFFFFF"/>
        </w:rPr>
        <w:t>安徽省绿色建筑发展条例（安徽省人民代表大会常务委员会公告第五十一号）</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ascii="仿宋" w:hAnsi="仿宋" w:eastAsia="仿宋" w:cs="仿宋"/>
          <w:i w:val="0"/>
          <w:iCs w:val="0"/>
          <w:caps w:val="0"/>
          <w:color w:val="333333"/>
          <w:spacing w:val="0"/>
          <w:sz w:val="32"/>
          <w:szCs w:val="32"/>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Times New Roman" w:hAnsi="Times New Roman" w:cs="Times New Roman"/>
          <w:i w:val="0"/>
          <w:iCs w:val="0"/>
          <w:caps w:val="0"/>
          <w:color w:val="333333"/>
          <w:spacing w:val="0"/>
          <w:sz w:val="32"/>
          <w:szCs w:val="32"/>
        </w:rPr>
      </w:pPr>
      <w:r>
        <w:rPr>
          <w:rFonts w:ascii="仿宋" w:hAnsi="仿宋" w:eastAsia="仿宋" w:cs="仿宋"/>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000000"/>
          <w:spacing w:val="0"/>
          <w:sz w:val="32"/>
          <w:szCs w:val="32"/>
          <w:bdr w:val="none" w:color="auto" w:sz="0" w:space="0"/>
          <w:shd w:val="clear" w:fill="FFFFFF"/>
        </w:rPr>
        <w:t>安徽省绿色建筑发展条例</w:t>
      </w:r>
      <w:r>
        <w:rPr>
          <w:rFonts w:hint="eastAsia" w:ascii="仿宋" w:hAnsi="仿宋" w:eastAsia="仿宋" w:cs="仿宋"/>
          <w:i w:val="0"/>
          <w:iCs w:val="0"/>
          <w:caps w:val="0"/>
          <w:color w:val="333333"/>
          <w:spacing w:val="0"/>
          <w:sz w:val="32"/>
          <w:szCs w:val="32"/>
          <w:bdr w:val="none" w:color="auto" w:sz="0" w:space="0"/>
          <w:shd w:val="clear" w:fill="FFFFFF"/>
        </w:rPr>
        <w:t>》已经2021年9月29日安徽省第十三届人民代表大会常务委员会第二十九次会议通过，现予公布，自2022年1月1日起施行。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Times New Roman" w:hAnsi="Times New Roman" w:cs="Times New Roman"/>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Times New Roman" w:hAnsi="Times New Roman" w:cs="Times New Roman"/>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 </w:t>
      </w:r>
      <w:r>
        <w:rPr>
          <w:rFonts w:hint="eastAsia" w:ascii="仿宋" w:hAnsi="仿宋" w:eastAsia="仿宋" w:cs="仿宋"/>
          <w:i w:val="0"/>
          <w:iCs w:val="0"/>
          <w:caps w:val="0"/>
          <w:color w:val="333333"/>
          <w:spacing w:val="0"/>
          <w:sz w:val="32"/>
          <w:szCs w:val="32"/>
          <w:bdr w:val="none" w:color="auto" w:sz="0" w:space="0"/>
          <w:shd w:val="clear" w:fill="FFFFFF"/>
        </w:rPr>
        <w:t>                                                         安徽省人民代表大会常务委员会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                                                                 2021年9月29日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hint="default" w:ascii="Times New Roman" w:hAnsi="Times New Roman" w:cs="Times New Roman"/>
          <w:i w:val="0"/>
          <w:iCs w:val="0"/>
          <w:caps w:val="0"/>
          <w:color w:val="333333"/>
          <w:spacing w:val="0"/>
          <w:sz w:val="32"/>
          <w:szCs w:val="32"/>
        </w:rPr>
      </w:pPr>
      <w:r>
        <w:rPr>
          <w:rFonts w:ascii="方正小标宋_GBK" w:hAnsi="方正小标宋_GBK" w:eastAsia="方正小标宋_GBK" w:cs="方正小标宋_GBK"/>
          <w:i w:val="0"/>
          <w:iCs w:val="0"/>
          <w:caps w:val="0"/>
          <w:color w:val="333333"/>
          <w:spacing w:val="0"/>
          <w:sz w:val="44"/>
          <w:szCs w:val="44"/>
          <w:bdr w:val="none" w:color="auto" w:sz="0" w:space="0"/>
          <w:shd w:val="clear" w:fill="FFFFFF"/>
        </w:rPr>
        <w:t>安徽省绿色建筑发展条例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default" w:ascii="Times New Roman" w:hAnsi="Times New Roman" w:cs="Times New Roman"/>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default" w:ascii="Times New Roman" w:hAnsi="Times New Roman" w:cs="Times New Roman"/>
          <w:i w:val="0"/>
          <w:iCs w:val="0"/>
          <w:caps w:val="0"/>
          <w:color w:val="333333"/>
          <w:spacing w:val="0"/>
          <w:sz w:val="32"/>
          <w:szCs w:val="32"/>
        </w:rPr>
      </w:pPr>
      <w:r>
        <w:rPr>
          <w:rFonts w:ascii="楷体" w:hAnsi="楷体" w:eastAsia="楷体" w:cs="楷体"/>
          <w:i w:val="0"/>
          <w:iCs w:val="0"/>
          <w:caps w:val="0"/>
          <w:color w:val="333333"/>
          <w:spacing w:val="0"/>
          <w:sz w:val="32"/>
          <w:szCs w:val="32"/>
          <w:bdr w:val="none" w:color="auto" w:sz="0" w:space="0"/>
          <w:shd w:val="clear" w:fill="FFFFFF"/>
        </w:rPr>
        <w:t>（</w:t>
      </w:r>
      <w:r>
        <w:rPr>
          <w:rFonts w:hint="default" w:ascii="Times New Roman" w:hAnsi="Times New Roman" w:cs="Times New Roman"/>
          <w:i w:val="0"/>
          <w:iCs w:val="0"/>
          <w:caps w:val="0"/>
          <w:color w:val="333333"/>
          <w:spacing w:val="0"/>
          <w:sz w:val="32"/>
          <w:szCs w:val="32"/>
          <w:bdr w:val="none" w:color="auto" w:sz="0" w:space="0"/>
          <w:shd w:val="clear" w:fill="FFFFFF"/>
        </w:rPr>
        <w:t>2021</w:t>
      </w:r>
      <w:r>
        <w:rPr>
          <w:rFonts w:hint="eastAsia" w:ascii="楷体" w:hAnsi="楷体" w:eastAsia="楷体" w:cs="楷体"/>
          <w:i w:val="0"/>
          <w:iCs w:val="0"/>
          <w:caps w:val="0"/>
          <w:color w:val="333333"/>
          <w:spacing w:val="0"/>
          <w:sz w:val="32"/>
          <w:szCs w:val="32"/>
          <w:bdr w:val="none" w:color="auto" w:sz="0" w:space="0"/>
          <w:shd w:val="clear" w:fill="FFFFFF"/>
        </w:rPr>
        <w:t>年</w:t>
      </w:r>
      <w:r>
        <w:rPr>
          <w:rFonts w:hint="default" w:ascii="Times New Roman" w:hAnsi="Times New Roman" w:cs="Times New Roman"/>
          <w:i w:val="0"/>
          <w:iCs w:val="0"/>
          <w:caps w:val="0"/>
          <w:color w:val="333333"/>
          <w:spacing w:val="0"/>
          <w:sz w:val="32"/>
          <w:szCs w:val="32"/>
          <w:bdr w:val="none" w:color="auto" w:sz="0" w:space="0"/>
          <w:shd w:val="clear" w:fill="FFFFFF"/>
        </w:rPr>
        <w:t>9</w:t>
      </w:r>
      <w:r>
        <w:rPr>
          <w:rFonts w:hint="eastAsia" w:ascii="楷体" w:hAnsi="楷体" w:eastAsia="楷体" w:cs="楷体"/>
          <w:i w:val="0"/>
          <w:iCs w:val="0"/>
          <w:caps w:val="0"/>
          <w:color w:val="333333"/>
          <w:spacing w:val="0"/>
          <w:sz w:val="32"/>
          <w:szCs w:val="32"/>
          <w:bdr w:val="none" w:color="auto" w:sz="0" w:space="0"/>
          <w:shd w:val="clear" w:fill="FFFFFF"/>
        </w:rPr>
        <w:t>月</w:t>
      </w:r>
      <w:r>
        <w:rPr>
          <w:rFonts w:hint="default" w:ascii="Times New Roman" w:hAnsi="Times New Roman" w:cs="Times New Roman"/>
          <w:i w:val="0"/>
          <w:iCs w:val="0"/>
          <w:caps w:val="0"/>
          <w:color w:val="333333"/>
          <w:spacing w:val="0"/>
          <w:sz w:val="32"/>
          <w:szCs w:val="32"/>
          <w:bdr w:val="none" w:color="auto" w:sz="0" w:space="0"/>
          <w:shd w:val="clear" w:fill="FFFFFF"/>
        </w:rPr>
        <w:t>29</w:t>
      </w:r>
      <w:r>
        <w:rPr>
          <w:rFonts w:hint="eastAsia" w:ascii="楷体" w:hAnsi="楷体" w:eastAsia="楷体" w:cs="楷体"/>
          <w:i w:val="0"/>
          <w:iCs w:val="0"/>
          <w:caps w:val="0"/>
          <w:color w:val="333333"/>
          <w:spacing w:val="0"/>
          <w:sz w:val="32"/>
          <w:szCs w:val="32"/>
          <w:bdr w:val="none" w:color="auto" w:sz="0" w:space="0"/>
          <w:shd w:val="clear" w:fill="FFFFFF"/>
        </w:rPr>
        <w:t>日安徽省第十三届人民代表大会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333333"/>
          <w:spacing w:val="0"/>
          <w:sz w:val="32"/>
          <w:szCs w:val="32"/>
          <w:bdr w:val="none" w:color="auto" w:sz="0" w:space="0"/>
          <w:shd w:val="clear" w:fill="FFFFFF"/>
        </w:rPr>
        <w:t>常务委员会第二十九次会议通过）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default" w:ascii="Times New Roman" w:hAnsi="Times New Roman" w:cs="Times New Roman"/>
          <w:i w:val="0"/>
          <w:iCs w:val="0"/>
          <w:caps w:val="0"/>
          <w:color w:val="333333"/>
          <w:spacing w:val="0"/>
          <w:sz w:val="32"/>
          <w:szCs w:val="32"/>
        </w:rPr>
      </w:pPr>
      <w:r>
        <w:rPr>
          <w:rFonts w:ascii="方正仿宋_GBK" w:hAnsi="方正仿宋_GBK" w:eastAsia="方正仿宋_GBK" w:cs="方正仿宋_GBK"/>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333333"/>
          <w:spacing w:val="0"/>
          <w:sz w:val="32"/>
          <w:szCs w:val="32"/>
          <w:bdr w:val="none" w:color="auto" w:sz="0" w:space="0"/>
          <w:shd w:val="clear" w:fill="FFFFFF"/>
        </w:rPr>
        <w:t>目</w:t>
      </w:r>
      <w:r>
        <w:rPr>
          <w:rFonts w:hint="eastAsia" w:ascii="宋体" w:hAnsi="宋体" w:eastAsia="宋体" w:cs="宋体"/>
          <w:i w:val="0"/>
          <w:iCs w:val="0"/>
          <w:caps w:val="0"/>
          <w:color w:val="333333"/>
          <w:spacing w:val="0"/>
          <w:sz w:val="32"/>
          <w:szCs w:val="32"/>
          <w:bdr w:val="none" w:color="auto" w:sz="0" w:space="0"/>
          <w:shd w:val="clear" w:fill="FFFFFF"/>
        </w:rPr>
        <w:t>    </w:t>
      </w:r>
      <w:r>
        <w:rPr>
          <w:rFonts w:hint="eastAsia" w:ascii="楷体" w:hAnsi="楷体" w:eastAsia="楷体" w:cs="楷体"/>
          <w:i w:val="0"/>
          <w:iCs w:val="0"/>
          <w:caps w:val="0"/>
          <w:color w:val="333333"/>
          <w:spacing w:val="0"/>
          <w:sz w:val="32"/>
          <w:szCs w:val="32"/>
          <w:bdr w:val="none" w:color="auto" w:sz="0" w:space="0"/>
          <w:shd w:val="clear" w:fill="FFFFFF"/>
        </w:rPr>
        <w:t>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333333"/>
          <w:spacing w:val="0"/>
          <w:sz w:val="32"/>
          <w:szCs w:val="32"/>
          <w:bdr w:val="none" w:color="auto" w:sz="0" w:space="0"/>
          <w:shd w:val="clear" w:fill="FFFFFF"/>
        </w:rPr>
        <w:t>第一章</w:t>
      </w:r>
      <w:r>
        <w:rPr>
          <w:rFonts w:hint="eastAsia" w:ascii="宋体" w:hAnsi="宋体" w:eastAsia="宋体" w:cs="宋体"/>
          <w:i w:val="0"/>
          <w:iCs w:val="0"/>
          <w:caps w:val="0"/>
          <w:color w:val="333333"/>
          <w:spacing w:val="0"/>
          <w:sz w:val="32"/>
          <w:szCs w:val="32"/>
          <w:bdr w:val="none" w:color="auto" w:sz="0" w:space="0"/>
          <w:shd w:val="clear" w:fill="FFFFFF"/>
        </w:rPr>
        <w:t>  </w:t>
      </w:r>
      <w:r>
        <w:rPr>
          <w:rFonts w:hint="eastAsia" w:ascii="楷体" w:hAnsi="楷体" w:eastAsia="楷体" w:cs="楷体"/>
          <w:i w:val="0"/>
          <w:iCs w:val="0"/>
          <w:caps w:val="0"/>
          <w:color w:val="333333"/>
          <w:spacing w:val="0"/>
          <w:sz w:val="32"/>
          <w:szCs w:val="32"/>
          <w:bdr w:val="none" w:color="auto" w:sz="0" w:space="0"/>
          <w:shd w:val="clear" w:fill="FFFFFF"/>
        </w:rPr>
        <w:t>总 </w:t>
      </w:r>
      <w:r>
        <w:rPr>
          <w:rFonts w:hint="eastAsia" w:ascii="宋体" w:hAnsi="宋体" w:eastAsia="宋体" w:cs="宋体"/>
          <w:i w:val="0"/>
          <w:iCs w:val="0"/>
          <w:caps w:val="0"/>
          <w:color w:val="333333"/>
          <w:spacing w:val="0"/>
          <w:sz w:val="32"/>
          <w:szCs w:val="32"/>
          <w:bdr w:val="none" w:color="auto" w:sz="0" w:space="0"/>
          <w:shd w:val="clear" w:fill="FFFFFF"/>
        </w:rPr>
        <w:t>   </w:t>
      </w:r>
      <w:r>
        <w:rPr>
          <w:rFonts w:hint="eastAsia" w:ascii="楷体" w:hAnsi="楷体" w:eastAsia="楷体" w:cs="楷体"/>
          <w:i w:val="0"/>
          <w:iCs w:val="0"/>
          <w:caps w:val="0"/>
          <w:color w:val="333333"/>
          <w:spacing w:val="0"/>
          <w:sz w:val="32"/>
          <w:szCs w:val="32"/>
          <w:bdr w:val="none" w:color="auto" w:sz="0" w:space="0"/>
          <w:shd w:val="clear" w:fill="FFFFFF"/>
        </w:rPr>
        <w:t>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333333"/>
          <w:spacing w:val="0"/>
          <w:sz w:val="32"/>
          <w:szCs w:val="32"/>
          <w:bdr w:val="none" w:color="auto" w:sz="0" w:space="0"/>
          <w:shd w:val="clear" w:fill="FFFFFF"/>
        </w:rPr>
        <w:t>第二章</w:t>
      </w:r>
      <w:r>
        <w:rPr>
          <w:rFonts w:hint="eastAsia" w:ascii="宋体" w:hAnsi="宋体" w:eastAsia="宋体" w:cs="宋体"/>
          <w:i w:val="0"/>
          <w:iCs w:val="0"/>
          <w:caps w:val="0"/>
          <w:color w:val="333333"/>
          <w:spacing w:val="0"/>
          <w:sz w:val="32"/>
          <w:szCs w:val="32"/>
          <w:bdr w:val="none" w:color="auto" w:sz="0" w:space="0"/>
          <w:shd w:val="clear" w:fill="FFFFFF"/>
        </w:rPr>
        <w:t>  </w:t>
      </w:r>
      <w:r>
        <w:rPr>
          <w:rFonts w:hint="eastAsia" w:ascii="楷体" w:hAnsi="楷体" w:eastAsia="楷体" w:cs="楷体"/>
          <w:i w:val="0"/>
          <w:iCs w:val="0"/>
          <w:caps w:val="0"/>
          <w:color w:val="333333"/>
          <w:spacing w:val="0"/>
          <w:sz w:val="32"/>
          <w:szCs w:val="32"/>
          <w:bdr w:val="none" w:color="auto" w:sz="0" w:space="0"/>
          <w:shd w:val="clear" w:fill="FFFFFF"/>
        </w:rPr>
        <w:t>规划与建设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333333"/>
          <w:spacing w:val="0"/>
          <w:sz w:val="32"/>
          <w:szCs w:val="32"/>
          <w:bdr w:val="none" w:color="auto" w:sz="0" w:space="0"/>
          <w:shd w:val="clear" w:fill="FFFFFF"/>
        </w:rPr>
        <w:t>第三章</w:t>
      </w:r>
      <w:r>
        <w:rPr>
          <w:rFonts w:hint="eastAsia" w:ascii="宋体" w:hAnsi="宋体" w:eastAsia="宋体" w:cs="宋体"/>
          <w:i w:val="0"/>
          <w:iCs w:val="0"/>
          <w:caps w:val="0"/>
          <w:color w:val="333333"/>
          <w:spacing w:val="0"/>
          <w:sz w:val="32"/>
          <w:szCs w:val="32"/>
          <w:bdr w:val="none" w:color="auto" w:sz="0" w:space="0"/>
          <w:shd w:val="clear" w:fill="FFFFFF"/>
        </w:rPr>
        <w:t>  </w:t>
      </w:r>
      <w:r>
        <w:rPr>
          <w:rFonts w:hint="eastAsia" w:ascii="楷体" w:hAnsi="楷体" w:eastAsia="楷体" w:cs="楷体"/>
          <w:i w:val="0"/>
          <w:iCs w:val="0"/>
          <w:caps w:val="0"/>
          <w:color w:val="333333"/>
          <w:spacing w:val="0"/>
          <w:sz w:val="32"/>
          <w:szCs w:val="32"/>
          <w:bdr w:val="none" w:color="auto" w:sz="0" w:space="0"/>
          <w:shd w:val="clear" w:fill="FFFFFF"/>
        </w:rPr>
        <w:t>运行与改造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333333"/>
          <w:spacing w:val="0"/>
          <w:sz w:val="32"/>
          <w:szCs w:val="32"/>
          <w:bdr w:val="none" w:color="auto" w:sz="0" w:space="0"/>
          <w:shd w:val="clear" w:fill="FFFFFF"/>
        </w:rPr>
        <w:t>第四章</w:t>
      </w:r>
      <w:r>
        <w:rPr>
          <w:rFonts w:hint="eastAsia" w:ascii="宋体" w:hAnsi="宋体" w:eastAsia="宋体" w:cs="宋体"/>
          <w:i w:val="0"/>
          <w:iCs w:val="0"/>
          <w:caps w:val="0"/>
          <w:color w:val="333333"/>
          <w:spacing w:val="0"/>
          <w:sz w:val="32"/>
          <w:szCs w:val="32"/>
          <w:bdr w:val="none" w:color="auto" w:sz="0" w:space="0"/>
          <w:shd w:val="clear" w:fill="FFFFFF"/>
        </w:rPr>
        <w:t>  </w:t>
      </w:r>
      <w:r>
        <w:rPr>
          <w:rFonts w:hint="eastAsia" w:ascii="楷体" w:hAnsi="楷体" w:eastAsia="楷体" w:cs="楷体"/>
          <w:i w:val="0"/>
          <w:iCs w:val="0"/>
          <w:caps w:val="0"/>
          <w:color w:val="333333"/>
          <w:spacing w:val="0"/>
          <w:sz w:val="32"/>
          <w:szCs w:val="32"/>
          <w:bdr w:val="none" w:color="auto" w:sz="0" w:space="0"/>
          <w:shd w:val="clear" w:fill="FFFFFF"/>
        </w:rPr>
        <w:t>技术推广应用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333333"/>
          <w:spacing w:val="0"/>
          <w:sz w:val="32"/>
          <w:szCs w:val="32"/>
          <w:bdr w:val="none" w:color="auto" w:sz="0" w:space="0"/>
          <w:shd w:val="clear" w:fill="FFFFFF"/>
        </w:rPr>
        <w:t>第五章</w:t>
      </w:r>
      <w:r>
        <w:rPr>
          <w:rFonts w:hint="eastAsia" w:ascii="宋体" w:hAnsi="宋体" w:eastAsia="宋体" w:cs="宋体"/>
          <w:i w:val="0"/>
          <w:iCs w:val="0"/>
          <w:caps w:val="0"/>
          <w:color w:val="333333"/>
          <w:spacing w:val="0"/>
          <w:sz w:val="32"/>
          <w:szCs w:val="32"/>
          <w:bdr w:val="none" w:color="auto" w:sz="0" w:space="0"/>
          <w:shd w:val="clear" w:fill="FFFFFF"/>
        </w:rPr>
        <w:t>  </w:t>
      </w:r>
      <w:r>
        <w:rPr>
          <w:rFonts w:hint="eastAsia" w:ascii="楷体" w:hAnsi="楷体" w:eastAsia="楷体" w:cs="楷体"/>
          <w:i w:val="0"/>
          <w:iCs w:val="0"/>
          <w:caps w:val="0"/>
          <w:color w:val="333333"/>
          <w:spacing w:val="0"/>
          <w:sz w:val="32"/>
          <w:szCs w:val="32"/>
          <w:bdr w:val="none" w:color="auto" w:sz="0" w:space="0"/>
          <w:shd w:val="clear" w:fill="FFFFFF"/>
        </w:rPr>
        <w:t>引导激励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333333"/>
          <w:spacing w:val="0"/>
          <w:sz w:val="32"/>
          <w:szCs w:val="32"/>
          <w:bdr w:val="none" w:color="auto" w:sz="0" w:space="0"/>
          <w:shd w:val="clear" w:fill="FFFFFF"/>
        </w:rPr>
        <w:t>第六章</w:t>
      </w:r>
      <w:r>
        <w:rPr>
          <w:rFonts w:hint="eastAsia" w:ascii="宋体" w:hAnsi="宋体" w:eastAsia="宋体" w:cs="宋体"/>
          <w:i w:val="0"/>
          <w:iCs w:val="0"/>
          <w:caps w:val="0"/>
          <w:color w:val="333333"/>
          <w:spacing w:val="0"/>
          <w:sz w:val="32"/>
          <w:szCs w:val="32"/>
          <w:bdr w:val="none" w:color="auto" w:sz="0" w:space="0"/>
          <w:shd w:val="clear" w:fill="FFFFFF"/>
        </w:rPr>
        <w:t>  </w:t>
      </w:r>
      <w:r>
        <w:rPr>
          <w:rFonts w:hint="eastAsia" w:ascii="楷体" w:hAnsi="楷体" w:eastAsia="楷体" w:cs="楷体"/>
          <w:i w:val="0"/>
          <w:iCs w:val="0"/>
          <w:caps w:val="0"/>
          <w:color w:val="333333"/>
          <w:spacing w:val="0"/>
          <w:sz w:val="32"/>
          <w:szCs w:val="32"/>
          <w:bdr w:val="none" w:color="auto" w:sz="0" w:space="0"/>
          <w:shd w:val="clear" w:fill="FFFFFF"/>
        </w:rPr>
        <w:t>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333333"/>
          <w:spacing w:val="0"/>
          <w:sz w:val="32"/>
          <w:szCs w:val="32"/>
          <w:bdr w:val="none" w:color="auto" w:sz="0" w:space="0"/>
          <w:shd w:val="clear" w:fill="FFFFFF"/>
        </w:rPr>
        <w:t>第七章</w:t>
      </w:r>
      <w:r>
        <w:rPr>
          <w:rFonts w:hint="eastAsia" w:ascii="宋体" w:hAnsi="宋体" w:eastAsia="宋体" w:cs="宋体"/>
          <w:i w:val="0"/>
          <w:iCs w:val="0"/>
          <w:caps w:val="0"/>
          <w:color w:val="333333"/>
          <w:spacing w:val="0"/>
          <w:sz w:val="32"/>
          <w:szCs w:val="32"/>
          <w:bdr w:val="none" w:color="auto" w:sz="0" w:space="0"/>
          <w:shd w:val="clear" w:fill="FFFFFF"/>
        </w:rPr>
        <w:t>  </w:t>
      </w:r>
      <w:r>
        <w:rPr>
          <w:rFonts w:hint="eastAsia" w:ascii="楷体" w:hAnsi="楷体" w:eastAsia="楷体" w:cs="楷体"/>
          <w:i w:val="0"/>
          <w:iCs w:val="0"/>
          <w:caps w:val="0"/>
          <w:color w:val="333333"/>
          <w:spacing w:val="0"/>
          <w:sz w:val="32"/>
          <w:szCs w:val="32"/>
          <w:bdr w:val="none" w:color="auto" w:sz="0" w:space="0"/>
          <w:shd w:val="clear" w:fill="FFFFFF"/>
        </w:rPr>
        <w:t>附 </w:t>
      </w:r>
      <w:r>
        <w:rPr>
          <w:rFonts w:hint="eastAsia" w:ascii="宋体" w:hAnsi="宋体" w:eastAsia="宋体" w:cs="宋体"/>
          <w:i w:val="0"/>
          <w:iCs w:val="0"/>
          <w:caps w:val="0"/>
          <w:color w:val="333333"/>
          <w:spacing w:val="0"/>
          <w:sz w:val="32"/>
          <w:szCs w:val="32"/>
          <w:bdr w:val="none" w:color="auto" w:sz="0" w:space="0"/>
          <w:shd w:val="clear" w:fill="FFFFFF"/>
        </w:rPr>
        <w:t>   </w:t>
      </w:r>
      <w:r>
        <w:rPr>
          <w:rFonts w:hint="eastAsia" w:ascii="楷体" w:hAnsi="楷体" w:eastAsia="楷体" w:cs="楷体"/>
          <w:i w:val="0"/>
          <w:iCs w:val="0"/>
          <w:caps w:val="0"/>
          <w:color w:val="333333"/>
          <w:spacing w:val="0"/>
          <w:sz w:val="32"/>
          <w:szCs w:val="32"/>
          <w:bdr w:val="none" w:color="auto" w:sz="0" w:space="0"/>
          <w:shd w:val="clear" w:fill="FFFFFF"/>
        </w:rPr>
        <w:t>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default" w:ascii="Times New Roman" w:hAnsi="Times New Roman" w:cs="Times New Roman"/>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default" w:ascii="Times New Roman" w:hAnsi="Times New Roman" w:cs="Times New Roman"/>
          <w:i w:val="0"/>
          <w:iCs w:val="0"/>
          <w:caps w:val="0"/>
          <w:color w:val="333333"/>
          <w:spacing w:val="0"/>
          <w:sz w:val="32"/>
          <w:szCs w:val="32"/>
        </w:rPr>
      </w:pPr>
      <w:r>
        <w:rPr>
          <w:rFonts w:ascii="黑体" w:hAnsi="宋体" w:eastAsia="黑体" w:cs="黑体"/>
          <w:i w:val="0"/>
          <w:iCs w:val="0"/>
          <w:caps w:val="0"/>
          <w:color w:val="333333"/>
          <w:spacing w:val="0"/>
          <w:sz w:val="32"/>
          <w:szCs w:val="32"/>
          <w:bdr w:val="none" w:color="auto" w:sz="0" w:space="0"/>
          <w:shd w:val="clear" w:fill="FFFFFF"/>
        </w:rPr>
        <w:t>第一章</w:t>
      </w:r>
      <w:r>
        <w:rPr>
          <w:rFonts w:hint="eastAsia" w:ascii="宋体" w:hAnsi="宋体" w:eastAsia="宋体" w:cs="宋体"/>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总 </w:t>
      </w:r>
      <w:r>
        <w:rPr>
          <w:rFonts w:hint="eastAsia" w:ascii="宋体" w:hAnsi="宋体" w:eastAsia="宋体" w:cs="宋体"/>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第一条</w:t>
      </w:r>
      <w:r>
        <w:rPr>
          <w:rFonts w:hint="eastAsia" w:ascii="宋体" w:hAnsi="宋体" w:eastAsia="宋体" w:cs="宋体"/>
          <w:i w:val="0"/>
          <w:iCs w:val="0"/>
          <w:caps w:val="0"/>
          <w:color w:val="333333"/>
          <w:spacing w:val="0"/>
          <w:sz w:val="32"/>
          <w:szCs w:val="32"/>
          <w:bdr w:val="none" w:color="auto" w:sz="0" w:space="0"/>
          <w:shd w:val="clear" w:fill="FFFFFF"/>
        </w:rPr>
        <w:t>  </w:t>
      </w:r>
      <w:r>
        <w:rPr>
          <w:rFonts w:hint="eastAsia" w:ascii="仿宋" w:hAnsi="仿宋" w:eastAsia="仿宋" w:cs="仿宋"/>
          <w:i w:val="0"/>
          <w:iCs w:val="0"/>
          <w:caps w:val="0"/>
          <w:color w:val="333333"/>
          <w:spacing w:val="0"/>
          <w:sz w:val="32"/>
          <w:szCs w:val="32"/>
          <w:bdr w:val="none" w:color="auto" w:sz="0" w:space="0"/>
          <w:shd w:val="clear" w:fill="FFFFFF"/>
        </w:rPr>
        <w:t>为了促进绿色建筑发展，规范绿色建筑活动，节约资源，降低碳排放，促进碳中和，推进生态文明建设，改善人居环境，根据《中华人民共和国建筑法》和有关法律、行政法规，结合本省实际，制定本条例。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第二条</w:t>
      </w:r>
      <w:r>
        <w:rPr>
          <w:rFonts w:hint="eastAsia" w:ascii="宋体" w:hAnsi="宋体" w:eastAsia="宋体" w:cs="宋体"/>
          <w:i w:val="0"/>
          <w:iCs w:val="0"/>
          <w:caps w:val="0"/>
          <w:color w:val="333333"/>
          <w:spacing w:val="0"/>
          <w:sz w:val="32"/>
          <w:szCs w:val="32"/>
          <w:bdr w:val="none" w:color="auto" w:sz="0" w:space="0"/>
          <w:shd w:val="clear" w:fill="FFFFFF"/>
        </w:rPr>
        <w:t>  </w:t>
      </w:r>
      <w:r>
        <w:rPr>
          <w:rFonts w:hint="eastAsia" w:ascii="仿宋" w:hAnsi="仿宋" w:eastAsia="仿宋" w:cs="仿宋"/>
          <w:i w:val="0"/>
          <w:iCs w:val="0"/>
          <w:caps w:val="0"/>
          <w:color w:val="333333"/>
          <w:spacing w:val="0"/>
          <w:sz w:val="32"/>
          <w:szCs w:val="32"/>
          <w:bdr w:val="none" w:color="auto" w:sz="0" w:space="0"/>
          <w:shd w:val="clear" w:fill="FFFFFF"/>
        </w:rPr>
        <w:t>本条例适用于本省行政区域内绿色建筑规划、建设、运行、改造、技术推广应用、引导激励及其监督管理活动。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本条例所称绿色建筑，是指在全寿命期内，节约资源、保护环境、减少污染，为人们提供健康、适用、高效的使用空间，实现人与自然和谐共生的高质量民用建筑。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第三条</w:t>
      </w:r>
      <w:r>
        <w:rPr>
          <w:rFonts w:hint="eastAsia" w:ascii="宋体" w:hAnsi="宋体" w:eastAsia="宋体" w:cs="宋体"/>
          <w:i w:val="0"/>
          <w:iCs w:val="0"/>
          <w:caps w:val="0"/>
          <w:color w:val="333333"/>
          <w:spacing w:val="0"/>
          <w:sz w:val="32"/>
          <w:szCs w:val="32"/>
          <w:bdr w:val="none" w:color="auto" w:sz="0" w:space="0"/>
          <w:shd w:val="clear" w:fill="FFFFFF"/>
        </w:rPr>
        <w:t>  </w:t>
      </w:r>
      <w:r>
        <w:rPr>
          <w:rFonts w:hint="eastAsia" w:ascii="仿宋" w:hAnsi="仿宋" w:eastAsia="仿宋" w:cs="仿宋"/>
          <w:i w:val="0"/>
          <w:iCs w:val="0"/>
          <w:caps w:val="0"/>
          <w:color w:val="333333"/>
          <w:spacing w:val="0"/>
          <w:sz w:val="32"/>
          <w:szCs w:val="32"/>
          <w:bdr w:val="none" w:color="auto" w:sz="0" w:space="0"/>
          <w:shd w:val="clear" w:fill="FFFFFF"/>
        </w:rPr>
        <w:t>绿色建筑发展应当贯彻新发展理念，遵循政府引导、市场推动，全面推进、因地制宜的原则。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第四条</w:t>
      </w:r>
      <w:r>
        <w:rPr>
          <w:rFonts w:hint="eastAsia" w:ascii="宋体" w:hAnsi="宋体" w:eastAsia="宋体" w:cs="宋体"/>
          <w:i w:val="0"/>
          <w:iCs w:val="0"/>
          <w:caps w:val="0"/>
          <w:color w:val="333333"/>
          <w:spacing w:val="0"/>
          <w:sz w:val="32"/>
          <w:szCs w:val="32"/>
          <w:bdr w:val="none" w:color="auto" w:sz="0" w:space="0"/>
          <w:shd w:val="clear" w:fill="FFFFFF"/>
        </w:rPr>
        <w:t>  </w:t>
      </w:r>
      <w:r>
        <w:rPr>
          <w:rFonts w:hint="eastAsia" w:ascii="仿宋" w:hAnsi="仿宋" w:eastAsia="仿宋" w:cs="仿宋"/>
          <w:i w:val="0"/>
          <w:iCs w:val="0"/>
          <w:caps w:val="0"/>
          <w:color w:val="333333"/>
          <w:spacing w:val="0"/>
          <w:sz w:val="32"/>
          <w:szCs w:val="32"/>
          <w:bdr w:val="none" w:color="auto" w:sz="0" w:space="0"/>
          <w:shd w:val="clear" w:fill="FFFFFF"/>
        </w:rPr>
        <w:t>县级以上人民政府应当将绿色建筑发展纳入国民经济和社会发展规划，完善财政、金融、土地、规划、建设等支持政策，将绿色建筑发展目标完成情况纳入政府目标管理绩效考核。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第五条</w:t>
      </w:r>
      <w:r>
        <w:rPr>
          <w:rFonts w:hint="eastAsia" w:ascii="宋体" w:hAnsi="宋体" w:eastAsia="宋体" w:cs="宋体"/>
          <w:i w:val="0"/>
          <w:iCs w:val="0"/>
          <w:caps w:val="0"/>
          <w:color w:val="333333"/>
          <w:spacing w:val="0"/>
          <w:sz w:val="32"/>
          <w:szCs w:val="32"/>
          <w:bdr w:val="none" w:color="auto" w:sz="0" w:space="0"/>
          <w:shd w:val="clear" w:fill="FFFFFF"/>
        </w:rPr>
        <w:t>  </w:t>
      </w:r>
      <w:r>
        <w:rPr>
          <w:rFonts w:hint="eastAsia" w:ascii="仿宋" w:hAnsi="仿宋" w:eastAsia="仿宋" w:cs="仿宋"/>
          <w:i w:val="0"/>
          <w:iCs w:val="0"/>
          <w:caps w:val="0"/>
          <w:color w:val="333333"/>
          <w:spacing w:val="0"/>
          <w:sz w:val="32"/>
          <w:szCs w:val="32"/>
          <w:bdr w:val="none" w:color="auto" w:sz="0" w:space="0"/>
          <w:shd w:val="clear" w:fill="FFFFFF"/>
        </w:rPr>
        <w:t>县级以上人民政府住房城乡建设主管部门负责本行政区域绿色建筑活动的指导和监督管理工作。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县级以上人民政府发展改革、经济和信息化、自然资源、生态环境、农业农村、水行政、交通运输、科技、财政、市场监督管理、城市管理等部门按照各自职责，做好绿色建筑发展相关工作。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第六条</w:t>
      </w:r>
      <w:r>
        <w:rPr>
          <w:rFonts w:hint="eastAsia" w:ascii="宋体" w:hAnsi="宋体" w:eastAsia="宋体" w:cs="宋体"/>
          <w:i w:val="0"/>
          <w:iCs w:val="0"/>
          <w:caps w:val="0"/>
          <w:color w:val="333333"/>
          <w:spacing w:val="0"/>
          <w:sz w:val="32"/>
          <w:szCs w:val="32"/>
          <w:bdr w:val="none" w:color="auto" w:sz="0" w:space="0"/>
          <w:shd w:val="clear" w:fill="FFFFFF"/>
        </w:rPr>
        <w:t>  </w:t>
      </w:r>
      <w:r>
        <w:rPr>
          <w:rFonts w:hint="eastAsia" w:ascii="仿宋" w:hAnsi="仿宋" w:eastAsia="仿宋" w:cs="仿宋"/>
          <w:i w:val="0"/>
          <w:iCs w:val="0"/>
          <w:caps w:val="0"/>
          <w:color w:val="333333"/>
          <w:spacing w:val="0"/>
          <w:sz w:val="32"/>
          <w:szCs w:val="32"/>
          <w:bdr w:val="none" w:color="auto" w:sz="0" w:space="0"/>
          <w:shd w:val="clear" w:fill="FFFFFF"/>
        </w:rPr>
        <w:t>县级以上人民政府及其有关部门应当采取多种形式，开展绿色建筑法律法规以及相关知识的宣传，引导公众树立绿色发展意识，推动形成绿色生态发展方式和生活方式。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第七条</w:t>
      </w:r>
      <w:r>
        <w:rPr>
          <w:rFonts w:hint="eastAsia" w:ascii="宋体" w:hAnsi="宋体" w:eastAsia="宋体" w:cs="宋体"/>
          <w:i w:val="0"/>
          <w:iCs w:val="0"/>
          <w:caps w:val="0"/>
          <w:color w:val="333333"/>
          <w:spacing w:val="0"/>
          <w:sz w:val="32"/>
          <w:szCs w:val="32"/>
          <w:bdr w:val="none" w:color="auto" w:sz="0" w:space="0"/>
          <w:shd w:val="clear" w:fill="FFFFFF"/>
        </w:rPr>
        <w:t>  </w:t>
      </w:r>
      <w:r>
        <w:rPr>
          <w:rFonts w:hint="eastAsia" w:ascii="仿宋" w:hAnsi="仿宋" w:eastAsia="仿宋" w:cs="仿宋"/>
          <w:i w:val="0"/>
          <w:iCs w:val="0"/>
          <w:caps w:val="0"/>
          <w:color w:val="333333"/>
          <w:spacing w:val="0"/>
          <w:sz w:val="32"/>
          <w:szCs w:val="32"/>
          <w:bdr w:val="none" w:color="auto" w:sz="0" w:space="0"/>
          <w:shd w:val="clear" w:fill="FFFFFF"/>
        </w:rPr>
        <w:t>县级以上人民政府应当鼓励和支持绿色建筑技术的研究、开发、示范、推广，促进绿色建筑技术进步与创新。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加强绿色建筑领域从业人员的专业技术培训，不断提高其专业技术水平。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对在绿色建筑发展工作中做出显著成绩的单位和个人，县级以上人民政府按照国家和省有关规定给予表彰奖励。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第二章</w:t>
      </w:r>
      <w:r>
        <w:rPr>
          <w:rFonts w:hint="eastAsia" w:ascii="宋体" w:hAnsi="宋体" w:eastAsia="宋体" w:cs="宋体"/>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规划与建设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第八条</w:t>
      </w:r>
      <w:r>
        <w:rPr>
          <w:rFonts w:hint="eastAsia" w:ascii="宋体" w:hAnsi="宋体" w:eastAsia="宋体" w:cs="宋体"/>
          <w:i w:val="0"/>
          <w:iCs w:val="0"/>
          <w:caps w:val="0"/>
          <w:color w:val="333333"/>
          <w:spacing w:val="0"/>
          <w:sz w:val="32"/>
          <w:szCs w:val="32"/>
          <w:bdr w:val="none" w:color="auto" w:sz="0" w:space="0"/>
          <w:shd w:val="clear" w:fill="FFFFFF"/>
        </w:rPr>
        <w:t>  </w:t>
      </w:r>
      <w:r>
        <w:rPr>
          <w:rFonts w:hint="eastAsia" w:ascii="仿宋" w:hAnsi="仿宋" w:eastAsia="仿宋" w:cs="仿宋"/>
          <w:i w:val="0"/>
          <w:iCs w:val="0"/>
          <w:caps w:val="0"/>
          <w:color w:val="333333"/>
          <w:spacing w:val="0"/>
          <w:sz w:val="32"/>
          <w:szCs w:val="32"/>
          <w:bdr w:val="none" w:color="auto" w:sz="0" w:space="0"/>
          <w:shd w:val="clear" w:fill="FFFFFF"/>
        </w:rPr>
        <w:t>绿色建筑按照国家规定划分为基本级、一星级、二星级、三星级四个标准等级。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设区的市、县（市）、乡镇国土空间规划确定的建设用地范围内的新建民用建筑，应当按照不低于基本级绿色建筑标准等级进行建设。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大型公共建筑以及政府投资的公共建筑，应当按照一星级以上绿色建筑标准等级进行建设。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设区的市人民政府可以规定执行更高的绿色建筑标准等级。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16"/>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第九条</w:t>
      </w:r>
      <w:r>
        <w:rPr>
          <w:rFonts w:hint="eastAsia" w:ascii="宋体" w:hAnsi="宋体" w:eastAsia="宋体" w:cs="宋体"/>
          <w:i w:val="0"/>
          <w:iCs w:val="0"/>
          <w:caps w:val="0"/>
          <w:color w:val="333333"/>
          <w:spacing w:val="0"/>
          <w:sz w:val="32"/>
          <w:szCs w:val="32"/>
          <w:bdr w:val="none" w:color="auto" w:sz="0" w:space="0"/>
          <w:shd w:val="clear" w:fill="FFFFFF"/>
        </w:rPr>
        <w:t>  </w:t>
      </w:r>
      <w:r>
        <w:rPr>
          <w:rFonts w:hint="eastAsia" w:ascii="仿宋" w:hAnsi="仿宋" w:eastAsia="仿宋" w:cs="仿宋"/>
          <w:i w:val="0"/>
          <w:iCs w:val="0"/>
          <w:caps w:val="0"/>
          <w:color w:val="333333"/>
          <w:spacing w:val="0"/>
          <w:sz w:val="32"/>
          <w:szCs w:val="32"/>
          <w:bdr w:val="none" w:color="auto" w:sz="0" w:space="0"/>
          <w:shd w:val="clear" w:fill="FFFFFF"/>
        </w:rPr>
        <w:t>县级以上人民政府住房城乡建设主管部门应当组织编制绿色建筑发展专项规划，报本级人民政府批准后向社会公布。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绿色建筑发展专项规划应当明确绿色建筑发展目标、重点发展区域和新型建筑工业化要求等内容，并确定各类新建民用建筑的绿色建筑标准等级要求。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绿色建筑发展专项规划应当符合国土空间规划，并与能源综合利用、水资源综合利用、固体废弃物综合利用、绿色交通和地下空间开发利用等专项规划相衔接。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第十条</w:t>
      </w:r>
      <w:r>
        <w:rPr>
          <w:rFonts w:hint="eastAsia" w:ascii="宋体" w:hAnsi="宋体" w:eastAsia="宋体" w:cs="宋体"/>
          <w:i w:val="0"/>
          <w:iCs w:val="0"/>
          <w:caps w:val="0"/>
          <w:color w:val="333333"/>
          <w:spacing w:val="0"/>
          <w:sz w:val="32"/>
          <w:szCs w:val="32"/>
          <w:bdr w:val="none" w:color="auto" w:sz="0" w:space="0"/>
          <w:shd w:val="clear" w:fill="FFFFFF"/>
        </w:rPr>
        <w:t>  </w:t>
      </w:r>
      <w:r>
        <w:rPr>
          <w:rFonts w:hint="eastAsia" w:ascii="仿宋" w:hAnsi="仿宋" w:eastAsia="仿宋" w:cs="仿宋"/>
          <w:i w:val="0"/>
          <w:iCs w:val="0"/>
          <w:caps w:val="0"/>
          <w:color w:val="333333"/>
          <w:spacing w:val="0"/>
          <w:sz w:val="32"/>
          <w:szCs w:val="32"/>
          <w:bdr w:val="none" w:color="auto" w:sz="0" w:space="0"/>
          <w:shd w:val="clear" w:fill="FFFFFF"/>
        </w:rPr>
        <w:t>设区的市、县（市）人民政府自然资源部门编制详细规划，应当体现绿色建筑发展要求。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国有建设用地使用权出让合同或者国有建设用地划拨决定书，以及建设工程规划许可证，应当注明建设用地规划条件确定的绿色建筑标准等级要求。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第十一条</w:t>
      </w:r>
      <w:r>
        <w:rPr>
          <w:rFonts w:hint="eastAsia" w:ascii="宋体" w:hAnsi="宋体" w:eastAsia="宋体" w:cs="宋体"/>
          <w:i w:val="0"/>
          <w:iCs w:val="0"/>
          <w:caps w:val="0"/>
          <w:color w:val="333333"/>
          <w:spacing w:val="0"/>
          <w:sz w:val="32"/>
          <w:szCs w:val="32"/>
          <w:bdr w:val="none" w:color="auto" w:sz="0" w:space="0"/>
          <w:shd w:val="clear" w:fill="FFFFFF"/>
        </w:rPr>
        <w:t>  </w:t>
      </w:r>
      <w:r>
        <w:rPr>
          <w:rFonts w:hint="eastAsia" w:ascii="仿宋" w:hAnsi="仿宋" w:eastAsia="仿宋" w:cs="仿宋"/>
          <w:i w:val="0"/>
          <w:iCs w:val="0"/>
          <w:caps w:val="0"/>
          <w:color w:val="333333"/>
          <w:spacing w:val="0"/>
          <w:sz w:val="32"/>
          <w:szCs w:val="32"/>
          <w:bdr w:val="none" w:color="auto" w:sz="0" w:space="0"/>
          <w:shd w:val="clear" w:fill="FFFFFF"/>
        </w:rPr>
        <w:t>建设单位编制的新建民用建筑项目可行性研究报告或者项目申请报告，应当包含绿色建筑标准等级要求。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建设单位在开展咨询、设计、施工、监理、检验检测、材料设备购置以及相关招标活动时，应当向相关单位明示建筑工程的绿色建筑标准等级或者参数要求。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第十二条</w:t>
      </w:r>
      <w:r>
        <w:rPr>
          <w:rFonts w:hint="eastAsia" w:ascii="宋体" w:hAnsi="宋体" w:eastAsia="宋体" w:cs="宋体"/>
          <w:i w:val="0"/>
          <w:iCs w:val="0"/>
          <w:caps w:val="0"/>
          <w:color w:val="333333"/>
          <w:spacing w:val="0"/>
          <w:sz w:val="32"/>
          <w:szCs w:val="32"/>
          <w:bdr w:val="none" w:color="auto" w:sz="0" w:space="0"/>
          <w:shd w:val="clear" w:fill="FFFFFF"/>
        </w:rPr>
        <w:t>  </w:t>
      </w:r>
      <w:r>
        <w:rPr>
          <w:rFonts w:hint="eastAsia" w:ascii="仿宋" w:hAnsi="仿宋" w:eastAsia="仿宋" w:cs="仿宋"/>
          <w:i w:val="0"/>
          <w:iCs w:val="0"/>
          <w:caps w:val="0"/>
          <w:color w:val="333333"/>
          <w:spacing w:val="0"/>
          <w:sz w:val="32"/>
          <w:szCs w:val="32"/>
          <w:bdr w:val="none" w:color="auto" w:sz="0" w:space="0"/>
          <w:shd w:val="clear" w:fill="FFFFFF"/>
        </w:rPr>
        <w:t>设计单位应当按照绿色建筑标准等级要求进行工程方案设计和施工图设计。施工图设计文件应当包含绿色建筑设计专篇内容。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第十三条</w:t>
      </w:r>
      <w:r>
        <w:rPr>
          <w:rFonts w:hint="eastAsia" w:ascii="宋体" w:hAnsi="宋体" w:eastAsia="宋体" w:cs="宋体"/>
          <w:i w:val="0"/>
          <w:iCs w:val="0"/>
          <w:caps w:val="0"/>
          <w:color w:val="333333"/>
          <w:spacing w:val="0"/>
          <w:sz w:val="32"/>
          <w:szCs w:val="32"/>
          <w:bdr w:val="none" w:color="auto" w:sz="0" w:space="0"/>
          <w:shd w:val="clear" w:fill="FFFFFF"/>
        </w:rPr>
        <w:t>  </w:t>
      </w:r>
      <w:r>
        <w:rPr>
          <w:rFonts w:hint="eastAsia" w:ascii="仿宋" w:hAnsi="仿宋" w:eastAsia="仿宋" w:cs="仿宋"/>
          <w:i w:val="0"/>
          <w:iCs w:val="0"/>
          <w:caps w:val="0"/>
          <w:color w:val="333333"/>
          <w:spacing w:val="0"/>
          <w:sz w:val="32"/>
          <w:szCs w:val="32"/>
          <w:bdr w:val="none" w:color="auto" w:sz="0" w:space="0"/>
          <w:shd w:val="clear" w:fill="FFFFFF"/>
        </w:rPr>
        <w:t>施工图设计文件审查机构应当按照绿色建筑标准等级要求，对施工图设计文件进行审查。未经审查或者经审查不符合要求的，不得出具施工图设计文件审查合格证书。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施工图设计文件变更绿色建筑标准等级的，应当重新审查。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第十四条</w:t>
      </w:r>
      <w:r>
        <w:rPr>
          <w:rFonts w:hint="eastAsia" w:ascii="宋体" w:hAnsi="宋体" w:eastAsia="宋体" w:cs="宋体"/>
          <w:i w:val="0"/>
          <w:iCs w:val="0"/>
          <w:caps w:val="0"/>
          <w:color w:val="333333"/>
          <w:spacing w:val="0"/>
          <w:sz w:val="32"/>
          <w:szCs w:val="32"/>
          <w:bdr w:val="none" w:color="auto" w:sz="0" w:space="0"/>
          <w:shd w:val="clear" w:fill="FFFFFF"/>
        </w:rPr>
        <w:t>  </w:t>
      </w:r>
      <w:r>
        <w:rPr>
          <w:rFonts w:hint="eastAsia" w:ascii="仿宋" w:hAnsi="仿宋" w:eastAsia="仿宋" w:cs="仿宋"/>
          <w:i w:val="0"/>
          <w:iCs w:val="0"/>
          <w:caps w:val="0"/>
          <w:color w:val="333333"/>
          <w:spacing w:val="0"/>
          <w:sz w:val="32"/>
          <w:szCs w:val="32"/>
          <w:bdr w:val="none" w:color="auto" w:sz="0" w:space="0"/>
          <w:shd w:val="clear" w:fill="FFFFFF"/>
        </w:rPr>
        <w:t>施工单位应当按照审查合格的施工图设计文件，编制符合绿色建筑标准等级的施工方案，并在建筑工程施工现场公示绿色建筑标准等级和主要技术指标。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施工单位应当对进入施工现场的墙体材料、保温材料、节能门窗、供暖制冷系统、照明设备、非传统水源利用设施、节水器具等建筑材料、建筑构配件和设施设备进行查验；不符合施工图设计文件要求的，不得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第十五条</w:t>
      </w:r>
      <w:r>
        <w:rPr>
          <w:rFonts w:hint="eastAsia" w:ascii="宋体" w:hAnsi="宋体" w:eastAsia="宋体" w:cs="宋体"/>
          <w:i w:val="0"/>
          <w:iCs w:val="0"/>
          <w:caps w:val="0"/>
          <w:color w:val="333333"/>
          <w:spacing w:val="0"/>
          <w:sz w:val="32"/>
          <w:szCs w:val="32"/>
          <w:bdr w:val="none" w:color="auto" w:sz="0" w:space="0"/>
          <w:shd w:val="clear" w:fill="FFFFFF"/>
        </w:rPr>
        <w:t>  </w:t>
      </w:r>
      <w:r>
        <w:rPr>
          <w:rFonts w:hint="eastAsia" w:ascii="仿宋" w:hAnsi="仿宋" w:eastAsia="仿宋" w:cs="仿宋"/>
          <w:i w:val="0"/>
          <w:iCs w:val="0"/>
          <w:caps w:val="0"/>
          <w:color w:val="333333"/>
          <w:spacing w:val="0"/>
          <w:sz w:val="32"/>
          <w:szCs w:val="32"/>
          <w:bdr w:val="none" w:color="auto" w:sz="0" w:space="0"/>
          <w:shd w:val="clear" w:fill="FFFFFF"/>
        </w:rPr>
        <w:t>监理单位应当按照审查合格的施工图设计文件，结合施工方案，编制符合绿色建筑标准等级的监理方案，并组织实施。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第十六条</w:t>
      </w:r>
      <w:r>
        <w:rPr>
          <w:rFonts w:hint="eastAsia" w:ascii="宋体" w:hAnsi="宋体" w:eastAsia="宋体" w:cs="宋体"/>
          <w:i w:val="0"/>
          <w:iCs w:val="0"/>
          <w:caps w:val="0"/>
          <w:color w:val="333333"/>
          <w:spacing w:val="0"/>
          <w:sz w:val="32"/>
          <w:szCs w:val="32"/>
          <w:bdr w:val="none" w:color="auto" w:sz="0" w:space="0"/>
          <w:shd w:val="clear" w:fill="FFFFFF"/>
        </w:rPr>
        <w:t>  </w:t>
      </w:r>
      <w:r>
        <w:rPr>
          <w:rFonts w:hint="eastAsia" w:ascii="仿宋" w:hAnsi="仿宋" w:eastAsia="仿宋" w:cs="仿宋"/>
          <w:i w:val="0"/>
          <w:iCs w:val="0"/>
          <w:caps w:val="0"/>
          <w:color w:val="333333"/>
          <w:spacing w:val="0"/>
          <w:sz w:val="32"/>
          <w:szCs w:val="32"/>
          <w:bdr w:val="none" w:color="auto" w:sz="0" w:space="0"/>
          <w:shd w:val="clear" w:fill="FFFFFF"/>
        </w:rPr>
        <w:t>受委托的工程质量检测机构应当按照建设工程质量管理要求和相关标准，对绿色建筑相关工程材料和设备进行检测，出具检测报告，并对其真实性、准确性负责。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第十七条</w:t>
      </w:r>
      <w:r>
        <w:rPr>
          <w:rFonts w:hint="eastAsia" w:ascii="宋体" w:hAnsi="宋体" w:eastAsia="宋体" w:cs="宋体"/>
          <w:i w:val="0"/>
          <w:iCs w:val="0"/>
          <w:caps w:val="0"/>
          <w:color w:val="333333"/>
          <w:spacing w:val="0"/>
          <w:sz w:val="32"/>
          <w:szCs w:val="32"/>
          <w:bdr w:val="none" w:color="auto" w:sz="0" w:space="0"/>
          <w:shd w:val="clear" w:fill="FFFFFF"/>
        </w:rPr>
        <w:t>  </w:t>
      </w:r>
      <w:r>
        <w:rPr>
          <w:rFonts w:hint="eastAsia" w:ascii="仿宋" w:hAnsi="仿宋" w:eastAsia="仿宋" w:cs="仿宋"/>
          <w:i w:val="0"/>
          <w:iCs w:val="0"/>
          <w:caps w:val="0"/>
          <w:color w:val="333333"/>
          <w:spacing w:val="0"/>
          <w:sz w:val="32"/>
          <w:szCs w:val="32"/>
          <w:bdr w:val="none" w:color="auto" w:sz="0" w:space="0"/>
          <w:shd w:val="clear" w:fill="FFFFFF"/>
        </w:rPr>
        <w:t>建设单位组织工程竣工验收，应当对建筑是否符合绿色建筑标准等级进行验收；不符合绿色建筑标准等级相关要求的，不得通过竣工验收。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第十八条</w:t>
      </w:r>
      <w:r>
        <w:rPr>
          <w:rFonts w:hint="eastAsia" w:ascii="宋体" w:hAnsi="宋体" w:eastAsia="宋体" w:cs="宋体"/>
          <w:i w:val="0"/>
          <w:iCs w:val="0"/>
          <w:caps w:val="0"/>
          <w:color w:val="333333"/>
          <w:spacing w:val="0"/>
          <w:sz w:val="32"/>
          <w:szCs w:val="32"/>
          <w:bdr w:val="none" w:color="auto" w:sz="0" w:space="0"/>
          <w:shd w:val="clear" w:fill="FFFFFF"/>
        </w:rPr>
        <w:t>  </w:t>
      </w:r>
      <w:r>
        <w:rPr>
          <w:rFonts w:hint="eastAsia" w:ascii="仿宋" w:hAnsi="仿宋" w:eastAsia="仿宋" w:cs="仿宋"/>
          <w:i w:val="0"/>
          <w:iCs w:val="0"/>
          <w:caps w:val="0"/>
          <w:color w:val="333333"/>
          <w:spacing w:val="0"/>
          <w:sz w:val="32"/>
          <w:szCs w:val="32"/>
          <w:bdr w:val="none" w:color="auto" w:sz="0" w:space="0"/>
          <w:shd w:val="clear" w:fill="FFFFFF"/>
        </w:rPr>
        <w:t>房地产开发企业销售房屋时，应当在销售现场明示绿色建筑标准等级，在质量保证书和使用说明书中如实载明所销售房屋的绿色建筑标准等级、主要技术措施和相关设施设备的使用维护保养办法，并对其真实性、准确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第十九条</w:t>
      </w:r>
      <w:r>
        <w:rPr>
          <w:rFonts w:hint="eastAsia" w:ascii="宋体" w:hAnsi="宋体" w:eastAsia="宋体" w:cs="宋体"/>
          <w:i w:val="0"/>
          <w:iCs w:val="0"/>
          <w:caps w:val="0"/>
          <w:color w:val="333333"/>
          <w:spacing w:val="0"/>
          <w:sz w:val="32"/>
          <w:szCs w:val="32"/>
          <w:bdr w:val="none" w:color="auto" w:sz="0" w:space="0"/>
          <w:shd w:val="clear" w:fill="FFFFFF"/>
        </w:rPr>
        <w:t>  </w:t>
      </w:r>
      <w:r>
        <w:rPr>
          <w:rFonts w:hint="eastAsia" w:ascii="仿宋" w:hAnsi="仿宋" w:eastAsia="仿宋" w:cs="仿宋"/>
          <w:i w:val="0"/>
          <w:iCs w:val="0"/>
          <w:caps w:val="0"/>
          <w:color w:val="333333"/>
          <w:spacing w:val="0"/>
          <w:sz w:val="32"/>
          <w:szCs w:val="32"/>
          <w:bdr w:val="none" w:color="auto" w:sz="0" w:space="0"/>
          <w:shd w:val="clear" w:fill="FFFFFF"/>
        </w:rPr>
        <w:t>省人民政府市场监督管理部门会同住房城乡建设、经济和信息化部门，可以制定绿色建筑和绿色建材的地方标准，鼓励制定团体标准，引导制定企业标准。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推进与沪苏浙绿色建筑和绿色建材的地方标准协同，促进长三角区域绿色建筑产业一体化发展。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第二十条</w:t>
      </w:r>
      <w:r>
        <w:rPr>
          <w:rFonts w:hint="eastAsia" w:ascii="宋体" w:hAnsi="宋体" w:eastAsia="宋体" w:cs="宋体"/>
          <w:i w:val="0"/>
          <w:iCs w:val="0"/>
          <w:caps w:val="0"/>
          <w:color w:val="333333"/>
          <w:spacing w:val="0"/>
          <w:sz w:val="32"/>
          <w:szCs w:val="32"/>
          <w:bdr w:val="none" w:color="auto" w:sz="0" w:space="0"/>
          <w:shd w:val="clear" w:fill="FFFFFF"/>
        </w:rPr>
        <w:t>  </w:t>
      </w:r>
      <w:r>
        <w:rPr>
          <w:rFonts w:hint="eastAsia" w:ascii="仿宋" w:hAnsi="仿宋" w:eastAsia="仿宋" w:cs="仿宋"/>
          <w:i w:val="0"/>
          <w:iCs w:val="0"/>
          <w:caps w:val="0"/>
          <w:color w:val="333333"/>
          <w:spacing w:val="0"/>
          <w:sz w:val="32"/>
          <w:szCs w:val="32"/>
          <w:bdr w:val="none" w:color="auto" w:sz="0" w:space="0"/>
          <w:shd w:val="clear" w:fill="FFFFFF"/>
        </w:rPr>
        <w:t>县级以上人民政府住房城乡建设主管部门应当将绿色建筑标准的落实情况纳入建设工程质量和安全监督管理体系，依据相关法律、法规和标准，对建筑实体质量和建设工程各参与单位的行为实施监督。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第三章</w:t>
      </w:r>
      <w:r>
        <w:rPr>
          <w:rFonts w:hint="eastAsia" w:ascii="宋体" w:hAnsi="宋体" w:eastAsia="宋体" w:cs="宋体"/>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运行与改造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第二十一条</w:t>
      </w:r>
      <w:r>
        <w:rPr>
          <w:rFonts w:hint="eastAsia" w:ascii="宋体" w:hAnsi="宋体" w:eastAsia="宋体" w:cs="宋体"/>
          <w:i w:val="0"/>
          <w:iCs w:val="0"/>
          <w:caps w:val="0"/>
          <w:color w:val="333333"/>
          <w:spacing w:val="0"/>
          <w:sz w:val="32"/>
          <w:szCs w:val="32"/>
          <w:bdr w:val="none" w:color="auto" w:sz="0" w:space="0"/>
          <w:shd w:val="clear" w:fill="FFFFFF"/>
        </w:rPr>
        <w:t>  </w:t>
      </w:r>
      <w:r>
        <w:rPr>
          <w:rFonts w:hint="eastAsia" w:ascii="仿宋" w:hAnsi="仿宋" w:eastAsia="仿宋" w:cs="仿宋"/>
          <w:i w:val="0"/>
          <w:iCs w:val="0"/>
          <w:caps w:val="0"/>
          <w:color w:val="333333"/>
          <w:spacing w:val="0"/>
          <w:sz w:val="32"/>
          <w:szCs w:val="32"/>
          <w:bdr w:val="none" w:color="auto" w:sz="0" w:space="0"/>
          <w:shd w:val="clear" w:fill="FFFFFF"/>
        </w:rPr>
        <w:t>绿色建筑所有权人或者使用权人应当对绿色建筑的设施设备进行维护和保养，也可以委托物业服务人或者专业服务单位进行维护和保养，保障绿色建筑正常运行。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绿色建筑所有权人、使用权人、物业服务人和专业服务单位不得损坏建筑围护结构和公用的设施设备。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第二十二条</w:t>
      </w:r>
      <w:r>
        <w:rPr>
          <w:rFonts w:hint="eastAsia" w:ascii="宋体" w:hAnsi="宋体" w:eastAsia="宋体" w:cs="宋体"/>
          <w:i w:val="0"/>
          <w:iCs w:val="0"/>
          <w:caps w:val="0"/>
          <w:color w:val="333333"/>
          <w:spacing w:val="0"/>
          <w:sz w:val="32"/>
          <w:szCs w:val="32"/>
          <w:bdr w:val="none" w:color="auto" w:sz="0" w:space="0"/>
          <w:shd w:val="clear" w:fill="FFFFFF"/>
        </w:rPr>
        <w:t>  </w:t>
      </w:r>
      <w:r>
        <w:rPr>
          <w:rFonts w:hint="eastAsia" w:ascii="仿宋" w:hAnsi="仿宋" w:eastAsia="仿宋" w:cs="仿宋"/>
          <w:i w:val="0"/>
          <w:iCs w:val="0"/>
          <w:caps w:val="0"/>
          <w:color w:val="333333"/>
          <w:spacing w:val="0"/>
          <w:sz w:val="32"/>
          <w:szCs w:val="32"/>
          <w:bdr w:val="none" w:color="auto" w:sz="0" w:space="0"/>
          <w:shd w:val="clear" w:fill="FFFFFF"/>
        </w:rPr>
        <w:t>绿色建筑的运行维护服务应当符合下列要求：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（一）运行管理制度完备；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（二）屋顶、外墙、外门窗等建筑围护结构完好，遮阳等设施设备运行正常；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（三）通风、空调、照明、水、电气等设备系统运行正常；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（四）节电、节水指标符合国家和省的规定；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（五）绿地率和室内的温湿度、噪声、空气品质等环境指标达到绿色建筑相应标准；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（六）废气、污水、固体废弃物及其他有害物质排放和处置符合国家和省的规定。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第二十三条</w:t>
      </w:r>
      <w:r>
        <w:rPr>
          <w:rFonts w:hint="eastAsia" w:ascii="宋体" w:hAnsi="宋体" w:eastAsia="宋体" w:cs="宋体"/>
          <w:i w:val="0"/>
          <w:iCs w:val="0"/>
          <w:caps w:val="0"/>
          <w:color w:val="333333"/>
          <w:spacing w:val="0"/>
          <w:sz w:val="32"/>
          <w:szCs w:val="32"/>
          <w:bdr w:val="none" w:color="auto" w:sz="0" w:space="0"/>
          <w:shd w:val="clear" w:fill="FFFFFF"/>
        </w:rPr>
        <w:t>  </w:t>
      </w:r>
      <w:r>
        <w:rPr>
          <w:rFonts w:hint="eastAsia" w:ascii="仿宋" w:hAnsi="仿宋" w:eastAsia="仿宋" w:cs="仿宋"/>
          <w:i w:val="0"/>
          <w:iCs w:val="0"/>
          <w:caps w:val="0"/>
          <w:color w:val="333333"/>
          <w:spacing w:val="0"/>
          <w:sz w:val="32"/>
          <w:szCs w:val="32"/>
          <w:bdr w:val="none" w:color="auto" w:sz="0" w:space="0"/>
          <w:shd w:val="clear" w:fill="FFFFFF"/>
        </w:rPr>
        <w:t>县级以上人民政府应当制定政策，编制计划，推动既有民用建筑参照绿色建筑标准进行改造。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既有公共建筑进行围护结构维修、用能系统更新时，应当同步开展节能改造，鼓励参照绿色建筑标准进行改造。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国家机关办公建筑和政府投资或以政府投资为主的其他公共建筑应当先行纳入改造计划，国家机关办公建筑改造费用由县级以上人民政府纳入本级财政预算。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鼓励城镇老旧小区改造同步实施建筑绿色化改造。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第二十四条</w:t>
      </w:r>
      <w:r>
        <w:rPr>
          <w:rFonts w:hint="eastAsia" w:ascii="宋体" w:hAnsi="宋体" w:eastAsia="宋体" w:cs="宋体"/>
          <w:i w:val="0"/>
          <w:iCs w:val="0"/>
          <w:caps w:val="0"/>
          <w:color w:val="333333"/>
          <w:spacing w:val="0"/>
          <w:sz w:val="32"/>
          <w:szCs w:val="32"/>
          <w:bdr w:val="none" w:color="auto" w:sz="0" w:space="0"/>
          <w:shd w:val="clear" w:fill="FFFFFF"/>
        </w:rPr>
        <w:t>  </w:t>
      </w:r>
      <w:r>
        <w:rPr>
          <w:rFonts w:hint="eastAsia" w:ascii="仿宋" w:hAnsi="仿宋" w:eastAsia="仿宋" w:cs="仿宋"/>
          <w:i w:val="0"/>
          <w:iCs w:val="0"/>
          <w:caps w:val="0"/>
          <w:color w:val="333333"/>
          <w:spacing w:val="0"/>
          <w:sz w:val="32"/>
          <w:szCs w:val="32"/>
          <w:bdr w:val="none" w:color="auto" w:sz="0" w:space="0"/>
          <w:shd w:val="clear" w:fill="FFFFFF"/>
        </w:rPr>
        <w:t>鼓励建筑节能服务机构为绿色建筑运行、民用建筑节能节水改造等提供合同能源、合同节水管理服务。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公共机构办公建筑应当逐步采用合同能源管理方式进行改造，改造后节约的能耗资金，可以用于支付合同约定的节能服务机构服务费用。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第二十五条</w:t>
      </w:r>
      <w:r>
        <w:rPr>
          <w:rFonts w:hint="eastAsia" w:ascii="宋体" w:hAnsi="宋体" w:eastAsia="宋体" w:cs="宋体"/>
          <w:i w:val="0"/>
          <w:iCs w:val="0"/>
          <w:caps w:val="0"/>
          <w:color w:val="333333"/>
          <w:spacing w:val="0"/>
          <w:sz w:val="32"/>
          <w:szCs w:val="32"/>
          <w:bdr w:val="none" w:color="auto" w:sz="0" w:space="0"/>
          <w:shd w:val="clear" w:fill="FFFFFF"/>
        </w:rPr>
        <w:t>  </w:t>
      </w:r>
      <w:r>
        <w:rPr>
          <w:rFonts w:hint="eastAsia" w:ascii="仿宋" w:hAnsi="仿宋" w:eastAsia="仿宋" w:cs="仿宋"/>
          <w:i w:val="0"/>
          <w:iCs w:val="0"/>
          <w:caps w:val="0"/>
          <w:color w:val="333333"/>
          <w:spacing w:val="0"/>
          <w:sz w:val="32"/>
          <w:szCs w:val="32"/>
          <w:bdr w:val="none" w:color="auto" w:sz="0" w:space="0"/>
          <w:shd w:val="clear" w:fill="FFFFFF"/>
        </w:rPr>
        <w:t>县级以上人民政府应当加强公共建筑能耗统计、能源审计和能耗公示工作，推行能耗实时监测，推进公共建筑能耗统一监管平台建设。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宋体" w:hAnsi="宋体" w:eastAsia="宋体" w:cs="宋体"/>
          <w:i w:val="0"/>
          <w:iCs w:val="0"/>
          <w:caps w:val="0"/>
          <w:color w:val="333333"/>
          <w:spacing w:val="0"/>
          <w:sz w:val="32"/>
          <w:szCs w:val="32"/>
          <w:u w:val="singl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第四章</w:t>
      </w:r>
      <w:r>
        <w:rPr>
          <w:rFonts w:hint="eastAsia" w:ascii="宋体" w:hAnsi="宋体" w:eastAsia="宋体" w:cs="宋体"/>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技术推广应用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第二十六条</w:t>
      </w:r>
      <w:r>
        <w:rPr>
          <w:rFonts w:hint="eastAsia" w:ascii="宋体" w:hAnsi="宋体" w:eastAsia="宋体" w:cs="宋体"/>
          <w:i w:val="0"/>
          <w:iCs w:val="0"/>
          <w:caps w:val="0"/>
          <w:color w:val="333333"/>
          <w:spacing w:val="0"/>
          <w:sz w:val="32"/>
          <w:szCs w:val="32"/>
          <w:bdr w:val="none" w:color="auto" w:sz="0" w:space="0"/>
          <w:shd w:val="clear" w:fill="FFFFFF"/>
        </w:rPr>
        <w:t>  </w:t>
      </w:r>
      <w:r>
        <w:rPr>
          <w:rFonts w:hint="eastAsia" w:ascii="仿宋" w:hAnsi="仿宋" w:eastAsia="仿宋" w:cs="仿宋"/>
          <w:i w:val="0"/>
          <w:iCs w:val="0"/>
          <w:caps w:val="0"/>
          <w:color w:val="333333"/>
          <w:spacing w:val="0"/>
          <w:sz w:val="32"/>
          <w:szCs w:val="32"/>
          <w:bdr w:val="none" w:color="auto" w:sz="0" w:space="0"/>
          <w:shd w:val="clear" w:fill="FFFFFF"/>
        </w:rPr>
        <w:t>绿色建筑应当推广应用自然通风、天然采光、建筑遮阳、隔热保温、立体绿化、余热回收、可再生能源利用、雨（中）水利用等适用技术。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支持光伏建筑一体化、无接触空中交互等先进性、智能化新技术在本省推广应用。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第二十七条</w:t>
      </w:r>
      <w:r>
        <w:rPr>
          <w:rFonts w:hint="eastAsia" w:ascii="宋体" w:hAnsi="宋体" w:eastAsia="宋体" w:cs="宋体"/>
          <w:i w:val="0"/>
          <w:iCs w:val="0"/>
          <w:caps w:val="0"/>
          <w:color w:val="333333"/>
          <w:spacing w:val="0"/>
          <w:sz w:val="32"/>
          <w:szCs w:val="32"/>
          <w:bdr w:val="none" w:color="auto" w:sz="0" w:space="0"/>
          <w:shd w:val="clear" w:fill="FFFFFF"/>
        </w:rPr>
        <w:t>  </w:t>
      </w:r>
      <w:r>
        <w:rPr>
          <w:rFonts w:hint="eastAsia" w:ascii="仿宋" w:hAnsi="仿宋" w:eastAsia="仿宋" w:cs="仿宋"/>
          <w:i w:val="0"/>
          <w:iCs w:val="0"/>
          <w:caps w:val="0"/>
          <w:color w:val="333333"/>
          <w:spacing w:val="0"/>
          <w:sz w:val="32"/>
          <w:szCs w:val="32"/>
          <w:bdr w:val="none" w:color="auto" w:sz="0" w:space="0"/>
          <w:shd w:val="clear" w:fill="FFFFFF"/>
        </w:rPr>
        <w:t>县级以上人民政府应当鼓励和支持企业、高等院校、研发机构研究开发绿色建筑新技术、新工艺、新材料和新设备；其研究开发费用按照国家规定享受税前加计扣除等优惠。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县级以上人民政府科技部门应当将绿色建筑关键技术的研发列入科技研发的重点领域，促进绿色建筑科技成果转化，支持绿色建筑公共技术服务平台和研发机构建设。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民用建筑采用没有工程建设标准的绿色建筑新技术、新工艺、新材料和新设备的，按照国家有关规定进行技术论证后可以在该民用建筑中使用。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第二十八条</w:t>
      </w:r>
      <w:r>
        <w:rPr>
          <w:rFonts w:hint="eastAsia" w:ascii="宋体" w:hAnsi="宋体" w:eastAsia="宋体" w:cs="宋体"/>
          <w:i w:val="0"/>
          <w:iCs w:val="0"/>
          <w:caps w:val="0"/>
          <w:color w:val="333333"/>
          <w:spacing w:val="0"/>
          <w:sz w:val="32"/>
          <w:szCs w:val="32"/>
          <w:bdr w:val="none" w:color="auto" w:sz="0" w:space="0"/>
          <w:shd w:val="clear" w:fill="FFFFFF"/>
        </w:rPr>
        <w:t>  </w:t>
      </w:r>
      <w:r>
        <w:rPr>
          <w:rFonts w:hint="eastAsia" w:ascii="仿宋" w:hAnsi="仿宋" w:eastAsia="仿宋" w:cs="仿宋"/>
          <w:i w:val="0"/>
          <w:iCs w:val="0"/>
          <w:caps w:val="0"/>
          <w:color w:val="333333"/>
          <w:spacing w:val="0"/>
          <w:sz w:val="32"/>
          <w:szCs w:val="32"/>
          <w:bdr w:val="none" w:color="auto" w:sz="0" w:space="0"/>
          <w:shd w:val="clear" w:fill="FFFFFF"/>
        </w:rPr>
        <w:t>县级以上人民政府应当支持装配式建筑产业基地等新型建筑工业化基地建设，建立健全相关的制度和技术体系，提高新型建筑工业化技术集成水平。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公共机构办公建筑和政府投资的其他公共建筑应当优先应用装配式建造等新型建筑工业化技术。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设区的市、县（市）人民政府可以依据绿色建筑发展专项规划确定一定比例的民用建筑，应用装配式建造等新型建筑工业化技术进行建设，并将新型建筑工业化技术要求纳入国有建设用地使用权出让条件。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第二十九条</w:t>
      </w:r>
      <w:r>
        <w:rPr>
          <w:rFonts w:hint="eastAsia" w:ascii="宋体" w:hAnsi="宋体" w:eastAsia="宋体" w:cs="宋体"/>
          <w:i w:val="0"/>
          <w:iCs w:val="0"/>
          <w:caps w:val="0"/>
          <w:color w:val="333333"/>
          <w:spacing w:val="0"/>
          <w:sz w:val="32"/>
          <w:szCs w:val="32"/>
          <w:bdr w:val="none" w:color="auto" w:sz="0" w:space="0"/>
          <w:shd w:val="clear" w:fill="FFFFFF"/>
        </w:rPr>
        <w:t>  </w:t>
      </w:r>
      <w:r>
        <w:rPr>
          <w:rFonts w:hint="eastAsia" w:ascii="仿宋" w:hAnsi="仿宋" w:eastAsia="仿宋" w:cs="仿宋"/>
          <w:i w:val="0"/>
          <w:iCs w:val="0"/>
          <w:caps w:val="0"/>
          <w:color w:val="333333"/>
          <w:spacing w:val="0"/>
          <w:sz w:val="32"/>
          <w:szCs w:val="32"/>
          <w:bdr w:val="none" w:color="auto" w:sz="0" w:space="0"/>
          <w:shd w:val="clear" w:fill="FFFFFF"/>
        </w:rPr>
        <w:t>鼓励建筑工程勘察、设计、施工和运行管理应用建筑信息模型等技术，推进绿色建筑建设运行数字化。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第三十条</w:t>
      </w:r>
      <w:r>
        <w:rPr>
          <w:rFonts w:hint="eastAsia" w:ascii="宋体" w:hAnsi="宋体" w:eastAsia="宋体" w:cs="宋体"/>
          <w:i w:val="0"/>
          <w:iCs w:val="0"/>
          <w:caps w:val="0"/>
          <w:color w:val="333333"/>
          <w:spacing w:val="0"/>
          <w:sz w:val="32"/>
          <w:szCs w:val="32"/>
          <w:bdr w:val="none" w:color="auto" w:sz="0" w:space="0"/>
          <w:shd w:val="clear" w:fill="FFFFFF"/>
        </w:rPr>
        <w:t>  </w:t>
      </w:r>
      <w:r>
        <w:rPr>
          <w:rFonts w:hint="eastAsia" w:ascii="仿宋" w:hAnsi="仿宋" w:eastAsia="仿宋" w:cs="仿宋"/>
          <w:i w:val="0"/>
          <w:iCs w:val="0"/>
          <w:caps w:val="0"/>
          <w:color w:val="333333"/>
          <w:spacing w:val="0"/>
          <w:sz w:val="32"/>
          <w:szCs w:val="32"/>
          <w:bdr w:val="none" w:color="auto" w:sz="0" w:space="0"/>
          <w:shd w:val="clear" w:fill="FFFFFF"/>
        </w:rPr>
        <w:t>绿色建筑应当按照国家规定推行菜单式等全装修方式。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全装修使用的材料和产品，应当符合保障人体健康和人身、财产安全的标准。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第五章</w:t>
      </w:r>
      <w:r>
        <w:rPr>
          <w:rFonts w:hint="eastAsia" w:ascii="宋体" w:hAnsi="宋体" w:eastAsia="宋体" w:cs="宋体"/>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引导激励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第三十一条</w:t>
      </w:r>
      <w:r>
        <w:rPr>
          <w:rFonts w:hint="eastAsia" w:ascii="宋体" w:hAnsi="宋体" w:eastAsia="宋体" w:cs="宋体"/>
          <w:i w:val="0"/>
          <w:iCs w:val="0"/>
          <w:caps w:val="0"/>
          <w:color w:val="333333"/>
          <w:spacing w:val="0"/>
          <w:sz w:val="32"/>
          <w:szCs w:val="32"/>
          <w:bdr w:val="none" w:color="auto" w:sz="0" w:space="0"/>
          <w:shd w:val="clear" w:fill="FFFFFF"/>
        </w:rPr>
        <w:t>  </w:t>
      </w:r>
      <w:r>
        <w:rPr>
          <w:rFonts w:hint="eastAsia" w:ascii="仿宋" w:hAnsi="仿宋" w:eastAsia="仿宋" w:cs="仿宋"/>
          <w:i w:val="0"/>
          <w:iCs w:val="0"/>
          <w:caps w:val="0"/>
          <w:color w:val="333333"/>
          <w:spacing w:val="0"/>
          <w:sz w:val="32"/>
          <w:szCs w:val="32"/>
          <w:bdr w:val="none" w:color="auto" w:sz="0" w:space="0"/>
          <w:shd w:val="clear" w:fill="FFFFFF"/>
        </w:rPr>
        <w:t>省、设区的市人民政府应当将绿色建筑产业发展纳入战略性新兴产业发展规划。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县级以上人民政府及其有关部门根据产业发展规划，因地制宜制定鼓励政策，促进绿色建筑产业发展。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第三十二条</w:t>
      </w:r>
      <w:r>
        <w:rPr>
          <w:rFonts w:hint="eastAsia" w:ascii="宋体" w:hAnsi="宋体" w:eastAsia="宋体" w:cs="宋体"/>
          <w:i w:val="0"/>
          <w:iCs w:val="0"/>
          <w:caps w:val="0"/>
          <w:color w:val="333333"/>
          <w:spacing w:val="0"/>
          <w:sz w:val="32"/>
          <w:szCs w:val="32"/>
          <w:bdr w:val="none" w:color="auto" w:sz="0" w:space="0"/>
          <w:shd w:val="clear" w:fill="FFFFFF"/>
        </w:rPr>
        <w:t>  </w:t>
      </w:r>
      <w:r>
        <w:rPr>
          <w:rFonts w:hint="eastAsia" w:ascii="仿宋" w:hAnsi="仿宋" w:eastAsia="仿宋" w:cs="仿宋"/>
          <w:i w:val="0"/>
          <w:iCs w:val="0"/>
          <w:caps w:val="0"/>
          <w:color w:val="333333"/>
          <w:spacing w:val="0"/>
          <w:sz w:val="32"/>
          <w:szCs w:val="32"/>
          <w:bdr w:val="none" w:color="auto" w:sz="0" w:space="0"/>
          <w:shd w:val="clear" w:fill="FFFFFF"/>
        </w:rPr>
        <w:t>县级以上人民政府应当结合本地绿色建筑发展实际，统筹安排资金，重点用于下列工作：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（一）绿色建筑技术、产品的研究开发与推广；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（二）绿色建筑相关标准制定；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（三）绿色建筑评价标识、合同能源管理、可再生能源建筑应用、超低能耗建筑、装配式建筑、既有民用建筑改造等项目示范和区域示范；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（四）绿色建筑政策法规、技术标准等培训和公共信息服务；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（五）绿色建筑发展宣传。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第三十三条</w:t>
      </w:r>
      <w:r>
        <w:rPr>
          <w:rFonts w:hint="eastAsia" w:ascii="宋体" w:hAnsi="宋体" w:eastAsia="宋体" w:cs="宋体"/>
          <w:i w:val="0"/>
          <w:iCs w:val="0"/>
          <w:caps w:val="0"/>
          <w:color w:val="333333"/>
          <w:spacing w:val="0"/>
          <w:sz w:val="32"/>
          <w:szCs w:val="32"/>
          <w:bdr w:val="none" w:color="auto" w:sz="0" w:space="0"/>
          <w:shd w:val="clear" w:fill="FFFFFF"/>
        </w:rPr>
        <w:t>  </w:t>
      </w:r>
      <w:r>
        <w:rPr>
          <w:rFonts w:hint="eastAsia" w:ascii="仿宋" w:hAnsi="仿宋" w:eastAsia="仿宋" w:cs="仿宋"/>
          <w:i w:val="0"/>
          <w:iCs w:val="0"/>
          <w:caps w:val="0"/>
          <w:color w:val="333333"/>
          <w:spacing w:val="0"/>
          <w:sz w:val="32"/>
          <w:szCs w:val="32"/>
          <w:bdr w:val="none" w:color="auto" w:sz="0" w:space="0"/>
          <w:shd w:val="clear" w:fill="FFFFFF"/>
        </w:rPr>
        <w:t>对建设、购买、运行绿色建筑的，实行下列扶持政策：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（一）建筑物外墙外侧保温隔热层的建筑面积不计入建筑容积率；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（二）应用太阳能、浅层地热能、生物质能、空气能等可再生能源的民用建筑，在核算建筑能耗时，其常规能源替代量抵扣相应的能耗量；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（三）新建民用建筑实施屋顶绿化的，按照有关规定折算为附属绿地面积；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（四）满足装配式建筑要求的商品房项目，其外墙预制部分建筑面积不超过装配式建筑各单体地上规划建筑面积之和百分之三的，不计入成交地块的容积率计算；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（五）使用住房公积金贷款购买高于最低标准等级绿色建筑的，公积金贷款额度最高可以上浮百分之二十，具体比例由设区的市住房公积金管理部门确定；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（六）县级以上人民政府制定的其他扶持政策。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第三十四条</w:t>
      </w:r>
      <w:r>
        <w:rPr>
          <w:rFonts w:hint="eastAsia" w:ascii="宋体" w:hAnsi="宋体" w:eastAsia="宋体" w:cs="宋体"/>
          <w:i w:val="0"/>
          <w:iCs w:val="0"/>
          <w:caps w:val="0"/>
          <w:color w:val="333333"/>
          <w:spacing w:val="0"/>
          <w:sz w:val="32"/>
          <w:szCs w:val="32"/>
          <w:bdr w:val="none" w:color="auto" w:sz="0" w:space="0"/>
          <w:shd w:val="clear" w:fill="FFFFFF"/>
        </w:rPr>
        <w:t>  </w:t>
      </w:r>
      <w:r>
        <w:rPr>
          <w:rFonts w:hint="eastAsia" w:ascii="仿宋" w:hAnsi="仿宋" w:eastAsia="仿宋" w:cs="仿宋"/>
          <w:i w:val="0"/>
          <w:iCs w:val="0"/>
          <w:caps w:val="0"/>
          <w:color w:val="333333"/>
          <w:spacing w:val="0"/>
          <w:sz w:val="32"/>
          <w:szCs w:val="32"/>
          <w:bdr w:val="none" w:color="auto" w:sz="0" w:space="0"/>
          <w:shd w:val="clear" w:fill="FFFFFF"/>
        </w:rPr>
        <w:t>鼓励科研机构、高等院校、行业协会商会等单位开展绿色建筑技术推广、宣传培训、咨询服务、绿色建材评价和建筑能效评估等活动。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县级以上人民政府住房城乡建设主管部门应当采取措施，鼓励和支持绿色建筑参加绿色建筑创新奖等奖项评选。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第六章</w:t>
      </w:r>
      <w:r>
        <w:rPr>
          <w:rFonts w:hint="eastAsia" w:ascii="宋体" w:hAnsi="宋体" w:eastAsia="宋体" w:cs="宋体"/>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第三十五条</w:t>
      </w:r>
      <w:r>
        <w:rPr>
          <w:rFonts w:hint="eastAsia" w:ascii="宋体" w:hAnsi="宋体" w:eastAsia="宋体" w:cs="宋体"/>
          <w:i w:val="0"/>
          <w:iCs w:val="0"/>
          <w:caps w:val="0"/>
          <w:color w:val="333333"/>
          <w:spacing w:val="0"/>
          <w:sz w:val="32"/>
          <w:szCs w:val="32"/>
          <w:bdr w:val="none" w:color="auto" w:sz="0" w:space="0"/>
          <w:shd w:val="clear" w:fill="FFFFFF"/>
        </w:rPr>
        <w:t>  </w:t>
      </w:r>
      <w:r>
        <w:rPr>
          <w:rFonts w:hint="eastAsia" w:ascii="仿宋" w:hAnsi="仿宋" w:eastAsia="仿宋" w:cs="仿宋"/>
          <w:i w:val="0"/>
          <w:iCs w:val="0"/>
          <w:caps w:val="0"/>
          <w:color w:val="333333"/>
          <w:spacing w:val="0"/>
          <w:sz w:val="32"/>
          <w:szCs w:val="32"/>
          <w:bdr w:val="none" w:color="auto" w:sz="0" w:space="0"/>
          <w:shd w:val="clear" w:fill="FFFFFF"/>
        </w:rPr>
        <w:t>县级以上人民政府有关部门及其工作人员违反本条例规定，有下列行为之一的，由有权机关依法给予处分：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（一）未依法组织编制绿色建筑发展专项规划的；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（二）国有建设用地使用权出让合同或者国有建设用地划拨决定书未按规定注明绿色建筑标准等级要求的；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（三）对政府投资的公共建筑未按照一星级以上绿色建筑标准等级进行建设的；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（四）其他玩忽职守、徇私舞弊、滥用职权的。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第三十六条</w:t>
      </w:r>
      <w:r>
        <w:rPr>
          <w:rFonts w:hint="eastAsia" w:ascii="宋体" w:hAnsi="宋体" w:eastAsia="宋体" w:cs="宋体"/>
          <w:i w:val="0"/>
          <w:iCs w:val="0"/>
          <w:caps w:val="0"/>
          <w:color w:val="333333"/>
          <w:spacing w:val="0"/>
          <w:sz w:val="32"/>
          <w:szCs w:val="32"/>
          <w:bdr w:val="none" w:color="auto" w:sz="0" w:space="0"/>
          <w:shd w:val="clear" w:fill="FFFFFF"/>
        </w:rPr>
        <w:t> </w:t>
      </w:r>
      <w:r>
        <w:rPr>
          <w:rFonts w:hint="eastAsia" w:ascii="仿宋" w:hAnsi="仿宋" w:eastAsia="仿宋" w:cs="仿宋"/>
          <w:i w:val="0"/>
          <w:iCs w:val="0"/>
          <w:caps w:val="0"/>
          <w:color w:val="333333"/>
          <w:spacing w:val="0"/>
          <w:sz w:val="32"/>
          <w:szCs w:val="32"/>
          <w:bdr w:val="none" w:color="auto" w:sz="0" w:space="0"/>
          <w:shd w:val="clear" w:fill="FFFFFF"/>
        </w:rPr>
        <w:t>违反本条例第十一条第二款规定，建设单位在开展咨询、设计、施工、监理、检验检测、材料设备购置以及相关招标活动时，未明示建筑工程绿色建筑标准等级或者参数要求的，由县级以上人民政府城市管理部门责令改正，可并处二十万元以上三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违反本条例第十七条规定，建设单位未对建筑是否符合绿色建筑标准等级进行验收，或者将不符合绿色建筑标准等级相关要求的建筑工程通过竣工验收的，由县级以上人民政府城市管理部门责令限期改正，处三十万元以上五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16"/>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第三十七条</w:t>
      </w:r>
      <w:r>
        <w:rPr>
          <w:rFonts w:hint="eastAsia" w:ascii="宋体" w:hAnsi="宋体" w:eastAsia="宋体" w:cs="宋体"/>
          <w:i w:val="0"/>
          <w:iCs w:val="0"/>
          <w:caps w:val="0"/>
          <w:color w:val="333333"/>
          <w:spacing w:val="0"/>
          <w:sz w:val="32"/>
          <w:szCs w:val="32"/>
          <w:bdr w:val="none" w:color="auto" w:sz="0" w:space="0"/>
          <w:shd w:val="clear" w:fill="FFFFFF"/>
        </w:rPr>
        <w:t>  </w:t>
      </w:r>
      <w:r>
        <w:rPr>
          <w:rFonts w:hint="eastAsia" w:ascii="仿宋" w:hAnsi="仿宋" w:eastAsia="仿宋" w:cs="仿宋"/>
          <w:i w:val="0"/>
          <w:iCs w:val="0"/>
          <w:caps w:val="0"/>
          <w:color w:val="333333"/>
          <w:spacing w:val="0"/>
          <w:sz w:val="32"/>
          <w:szCs w:val="32"/>
          <w:bdr w:val="none" w:color="auto" w:sz="0" w:space="0"/>
          <w:shd w:val="clear" w:fill="FFFFFF"/>
        </w:rPr>
        <w:t>违反本条例第十二条规定，设计单位未按照绿色建筑标准等级要求进行工程方案设计和施工图设计的，或者施工图设计文件未包含绿色建筑设计专篇内容的，由县级以上人民政府城市管理部门责令限期改正，处十万元以上三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第三十八条</w:t>
      </w:r>
      <w:r>
        <w:rPr>
          <w:rFonts w:hint="eastAsia" w:ascii="宋体" w:hAnsi="宋体" w:eastAsia="宋体" w:cs="宋体"/>
          <w:i w:val="0"/>
          <w:iCs w:val="0"/>
          <w:caps w:val="0"/>
          <w:color w:val="333333"/>
          <w:spacing w:val="0"/>
          <w:sz w:val="32"/>
          <w:szCs w:val="32"/>
          <w:bdr w:val="none" w:color="auto" w:sz="0" w:space="0"/>
          <w:shd w:val="clear" w:fill="FFFFFF"/>
        </w:rPr>
        <w:t>  </w:t>
      </w:r>
      <w:r>
        <w:rPr>
          <w:rFonts w:hint="eastAsia" w:ascii="仿宋" w:hAnsi="仿宋" w:eastAsia="仿宋" w:cs="仿宋"/>
          <w:i w:val="0"/>
          <w:iCs w:val="0"/>
          <w:caps w:val="0"/>
          <w:color w:val="333333"/>
          <w:spacing w:val="0"/>
          <w:sz w:val="32"/>
          <w:szCs w:val="32"/>
          <w:bdr w:val="none" w:color="auto" w:sz="0" w:space="0"/>
          <w:shd w:val="clear" w:fill="FFFFFF"/>
        </w:rPr>
        <w:t>违反本条例规定的行为，法律、行政法规已有行政处罚规定的，依照其规定执行；构成犯罪的，依法追究刑事责任。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第七章</w:t>
      </w:r>
      <w:r>
        <w:rPr>
          <w:rFonts w:hint="eastAsia" w:ascii="宋体" w:hAnsi="宋体" w:eastAsia="宋体" w:cs="宋体"/>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附 </w:t>
      </w:r>
      <w:r>
        <w:rPr>
          <w:rFonts w:hint="eastAsia" w:ascii="宋体" w:hAnsi="宋体" w:eastAsia="宋体" w:cs="宋体"/>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第三十九条</w:t>
      </w:r>
      <w:r>
        <w:rPr>
          <w:rFonts w:hint="eastAsia" w:ascii="宋体" w:hAnsi="宋体" w:eastAsia="宋体" w:cs="宋体"/>
          <w:i w:val="0"/>
          <w:iCs w:val="0"/>
          <w:caps w:val="0"/>
          <w:color w:val="333333"/>
          <w:spacing w:val="0"/>
          <w:sz w:val="32"/>
          <w:szCs w:val="32"/>
          <w:bdr w:val="none" w:color="auto" w:sz="0" w:space="0"/>
          <w:shd w:val="clear" w:fill="FFFFFF"/>
        </w:rPr>
        <w:t>  </w:t>
      </w:r>
      <w:r>
        <w:rPr>
          <w:rFonts w:hint="eastAsia" w:ascii="仿宋" w:hAnsi="仿宋" w:eastAsia="仿宋" w:cs="仿宋"/>
          <w:i w:val="0"/>
          <w:iCs w:val="0"/>
          <w:caps w:val="0"/>
          <w:color w:val="333333"/>
          <w:spacing w:val="0"/>
          <w:sz w:val="32"/>
          <w:szCs w:val="32"/>
          <w:bdr w:val="none" w:color="auto" w:sz="0" w:space="0"/>
          <w:shd w:val="clear" w:fill="FFFFFF"/>
        </w:rPr>
        <w:t>本条例中下列用语的含义：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（一）民用建筑，是指居住建筑、国家机关办公建筑和商业、服务业、教育、卫生、交通等其他公共建筑，包括工业用地范围内用于办公、生活服务用途的建筑。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（二）装配式建筑，是指由预制部品部件在工地装配而成的建筑，包括装配式混凝土建筑、装配式钢结构建筑、装配式木结构建筑等。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（三）绿色建材，是指在全生命期内可以减少对天然资源消耗和减轻对生态环境影响，具有节能、减排、安全、便利和可循环特征的建材产品。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第四十条</w:t>
      </w:r>
      <w:r>
        <w:rPr>
          <w:rFonts w:hint="eastAsia" w:ascii="宋体" w:hAnsi="宋体" w:eastAsia="宋体" w:cs="宋体"/>
          <w:i w:val="0"/>
          <w:iCs w:val="0"/>
          <w:caps w:val="0"/>
          <w:color w:val="333333"/>
          <w:spacing w:val="0"/>
          <w:sz w:val="32"/>
          <w:szCs w:val="32"/>
          <w:bdr w:val="none" w:color="auto" w:sz="0" w:space="0"/>
          <w:shd w:val="clear" w:fill="FFFFFF"/>
        </w:rPr>
        <w:t>  </w:t>
      </w:r>
      <w:r>
        <w:rPr>
          <w:rFonts w:hint="eastAsia" w:ascii="仿宋" w:hAnsi="仿宋" w:eastAsia="仿宋" w:cs="仿宋"/>
          <w:i w:val="0"/>
          <w:iCs w:val="0"/>
          <w:caps w:val="0"/>
          <w:color w:val="333333"/>
          <w:spacing w:val="0"/>
          <w:sz w:val="32"/>
          <w:szCs w:val="32"/>
          <w:bdr w:val="none" w:color="auto" w:sz="0" w:space="0"/>
          <w:shd w:val="clear" w:fill="FFFFFF"/>
        </w:rPr>
        <w:t>依法核定作为文物保护的纪念建筑物和古建筑等的修缮，不适用本条例。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皖南古民居、列入红色资源名录的建筑物等的绿色化改造应当符合相关法律、法规规定。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第四十一条</w:t>
      </w:r>
      <w:r>
        <w:rPr>
          <w:rFonts w:hint="eastAsia" w:ascii="宋体" w:hAnsi="宋体" w:eastAsia="宋体" w:cs="宋体"/>
          <w:i w:val="0"/>
          <w:iCs w:val="0"/>
          <w:caps w:val="0"/>
          <w:color w:val="333333"/>
          <w:spacing w:val="0"/>
          <w:sz w:val="32"/>
          <w:szCs w:val="32"/>
          <w:bdr w:val="none" w:color="auto" w:sz="0" w:space="0"/>
          <w:shd w:val="clear" w:fill="FFFFFF"/>
        </w:rPr>
        <w:t>  </w:t>
      </w:r>
      <w:r>
        <w:rPr>
          <w:rFonts w:hint="eastAsia" w:ascii="仿宋" w:hAnsi="仿宋" w:eastAsia="仿宋" w:cs="仿宋"/>
          <w:i w:val="0"/>
          <w:iCs w:val="0"/>
          <w:caps w:val="0"/>
          <w:color w:val="333333"/>
          <w:spacing w:val="0"/>
          <w:sz w:val="32"/>
          <w:szCs w:val="32"/>
          <w:bdr w:val="none" w:color="auto" w:sz="0" w:space="0"/>
          <w:shd w:val="clear" w:fill="FFFFFF"/>
        </w:rPr>
        <w:t>鼓励工业厂房、农村自建住宅参照绿色建筑标准设计建造或者采用绿色建筑技术建造。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第四十二条</w:t>
      </w:r>
      <w:r>
        <w:rPr>
          <w:rFonts w:hint="eastAsia" w:ascii="宋体" w:hAnsi="宋体" w:eastAsia="宋体" w:cs="宋体"/>
          <w:i w:val="0"/>
          <w:iCs w:val="0"/>
          <w:caps w:val="0"/>
          <w:color w:val="333333"/>
          <w:spacing w:val="0"/>
          <w:sz w:val="32"/>
          <w:szCs w:val="32"/>
          <w:bdr w:val="none" w:color="auto" w:sz="0" w:space="0"/>
          <w:shd w:val="clear" w:fill="FFFFFF"/>
        </w:rPr>
        <w:t>  </w:t>
      </w:r>
      <w:r>
        <w:rPr>
          <w:rFonts w:hint="eastAsia" w:ascii="仿宋" w:hAnsi="仿宋" w:eastAsia="仿宋" w:cs="仿宋"/>
          <w:i w:val="0"/>
          <w:iCs w:val="0"/>
          <w:caps w:val="0"/>
          <w:color w:val="333333"/>
          <w:spacing w:val="0"/>
          <w:sz w:val="32"/>
          <w:szCs w:val="32"/>
          <w:bdr w:val="none" w:color="auto" w:sz="0" w:space="0"/>
          <w:shd w:val="clear" w:fill="FFFFFF"/>
        </w:rPr>
        <w:t>本条例自</w:t>
      </w:r>
      <w:r>
        <w:rPr>
          <w:rFonts w:hint="default" w:ascii="Times New Roman" w:hAnsi="Times New Roman" w:cs="Times New Roman"/>
          <w:i w:val="0"/>
          <w:iCs w:val="0"/>
          <w:caps w:val="0"/>
          <w:color w:val="333333"/>
          <w:spacing w:val="0"/>
          <w:sz w:val="32"/>
          <w:szCs w:val="32"/>
          <w:bdr w:val="none" w:color="auto" w:sz="0" w:space="0"/>
          <w:shd w:val="clear" w:fill="FFFFFF"/>
        </w:rPr>
        <w:t>2022</w:t>
      </w:r>
      <w:r>
        <w:rPr>
          <w:rFonts w:hint="eastAsia" w:ascii="仿宋" w:hAnsi="仿宋" w:eastAsia="仿宋" w:cs="仿宋"/>
          <w:i w:val="0"/>
          <w:iCs w:val="0"/>
          <w:caps w:val="0"/>
          <w:color w:val="333333"/>
          <w:spacing w:val="0"/>
          <w:sz w:val="32"/>
          <w:szCs w:val="32"/>
          <w:bdr w:val="none" w:color="auto" w:sz="0" w:space="0"/>
          <w:shd w:val="clear" w:fill="FFFFFF"/>
        </w:rPr>
        <w:t>年</w:t>
      </w:r>
      <w:r>
        <w:rPr>
          <w:rFonts w:hint="default" w:ascii="Times New Roman" w:hAnsi="Times New Roman" w:cs="Times New Roman"/>
          <w:i w:val="0"/>
          <w:iCs w:val="0"/>
          <w:caps w:val="0"/>
          <w:color w:val="333333"/>
          <w:spacing w:val="0"/>
          <w:sz w:val="32"/>
          <w:szCs w:val="32"/>
          <w:bdr w:val="none" w:color="auto" w:sz="0" w:space="0"/>
          <w:shd w:val="clear" w:fill="FFFFFF"/>
        </w:rPr>
        <w:t>1</w:t>
      </w:r>
      <w:r>
        <w:rPr>
          <w:rFonts w:hint="eastAsia" w:ascii="仿宋" w:hAnsi="仿宋" w:eastAsia="仿宋" w:cs="仿宋"/>
          <w:i w:val="0"/>
          <w:iCs w:val="0"/>
          <w:caps w:val="0"/>
          <w:color w:val="333333"/>
          <w:spacing w:val="0"/>
          <w:sz w:val="32"/>
          <w:szCs w:val="32"/>
          <w:bdr w:val="none" w:color="auto" w:sz="0" w:space="0"/>
          <w:shd w:val="clear" w:fill="FFFFFF"/>
        </w:rPr>
        <w:t>月</w:t>
      </w:r>
      <w:r>
        <w:rPr>
          <w:rFonts w:hint="default" w:ascii="Times New Roman" w:hAnsi="Times New Roman" w:cs="Times New Roman"/>
          <w:i w:val="0"/>
          <w:iCs w:val="0"/>
          <w:caps w:val="0"/>
          <w:color w:val="333333"/>
          <w:spacing w:val="0"/>
          <w:sz w:val="32"/>
          <w:szCs w:val="32"/>
          <w:bdr w:val="none" w:color="auto" w:sz="0" w:space="0"/>
          <w:shd w:val="clear" w:fill="FFFFFF"/>
        </w:rPr>
        <w:t>1</w:t>
      </w:r>
      <w:r>
        <w:rPr>
          <w:rFonts w:hint="eastAsia" w:ascii="仿宋" w:hAnsi="仿宋" w:eastAsia="仿宋" w:cs="仿宋"/>
          <w:i w:val="0"/>
          <w:iCs w:val="0"/>
          <w:caps w:val="0"/>
          <w:color w:val="333333"/>
          <w:spacing w:val="0"/>
          <w:sz w:val="32"/>
          <w:szCs w:val="32"/>
          <w:bdr w:val="none" w:color="auto" w:sz="0" w:space="0"/>
          <w:shd w:val="clear" w:fill="FFFFFF"/>
        </w:rPr>
        <w:t>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2MzJiZGY2MWI1YTZlZGEyMTAyMGRkNzFmOGVhN2IifQ=="/>
  </w:docVars>
  <w:rsids>
    <w:rsidRoot w:val="00000000"/>
    <w:rsid w:val="28342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2022-05-25T02:47:15Z</dcterms:created>
  <dc:creator>Administrator.DESKTOP-IKMP3VF</dc:creator>
  <cp:lastModifiedBy>Administrator</cp:lastModifiedBy>
  <dcterms:modified xsi:type="dcterms:W3CDTF">2022-05-25T02:47:37Z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7428263648D7434AA8C4252BEEEFCE55</vt:lpwstr>
  </property>
</Properties>
</file>