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方正小标宋简体" w:hAnsi="方正小标宋简体" w:eastAsia="方正小标宋简体"/>
          <w:bCs/>
          <w:color w:val="000000"/>
          <w:sz w:val="44"/>
          <w:szCs w:val="44"/>
        </w:rPr>
      </w:pPr>
    </w:p>
    <w:p>
      <w:pPr>
        <w:jc w:val="center"/>
        <w:rPr>
          <w:rFonts w:ascii="方正小标宋简体" w:hAnsi="方正小标宋简体" w:eastAsia="方正小标宋简体"/>
          <w:bCs/>
          <w:color w:val="000000"/>
          <w:sz w:val="44"/>
          <w:szCs w:val="44"/>
        </w:rPr>
      </w:pPr>
      <w:r>
        <w:rPr>
          <w:rFonts w:hint="eastAsia" w:ascii="方正小标宋简体" w:hAnsi="方正小标宋简体" w:eastAsia="方正小标宋简体"/>
          <w:bCs/>
          <w:color w:val="000000"/>
          <w:sz w:val="44"/>
          <w:szCs w:val="44"/>
        </w:rPr>
        <w:t>财政支出项目预算评审报告</w:t>
      </w:r>
    </w:p>
    <w:p>
      <w:pPr>
        <w:ind w:firstLine="600" w:firstLineChars="200"/>
        <w:jc w:val="center"/>
        <w:rPr>
          <w:rFonts w:ascii="Arial" w:hAnsi="Arial" w:cs="Arial"/>
          <w:color w:val="333333"/>
          <w:sz w:val="30"/>
          <w:szCs w:val="30"/>
          <w:shd w:val="clear" w:color="auto" w:fill="FFFFFF"/>
        </w:rPr>
      </w:pPr>
    </w:p>
    <w:p>
      <w:pPr>
        <w:ind w:firstLine="640" w:firstLineChars="200"/>
        <w:rPr>
          <w:rFonts w:hint="eastAsia" w:ascii="仿宋_GB2312" w:hAnsi="Arial" w:eastAsia="仿宋_GB2312" w:cs="Arial"/>
          <w:color w:val="333333"/>
          <w:sz w:val="32"/>
          <w:szCs w:val="32"/>
          <w:shd w:val="clear" w:color="auto" w:fill="FFFFFF"/>
        </w:rPr>
      </w:pPr>
      <w:r>
        <w:rPr>
          <w:rFonts w:hint="eastAsia" w:ascii="仿宋_GB2312" w:hAnsi="Arial" w:eastAsia="仿宋_GB2312" w:cs="Arial"/>
          <w:color w:val="333333"/>
          <w:sz w:val="32"/>
          <w:szCs w:val="32"/>
          <w:shd w:val="clear" w:color="auto" w:fill="FFFFFF"/>
        </w:rPr>
        <w:t>根据项目预算编制有关要求，</w:t>
      </w:r>
      <w:r>
        <w:rPr>
          <w:rFonts w:hint="eastAsia" w:ascii="仿宋_GB2312" w:hAnsi="Arial" w:eastAsia="仿宋_GB2312" w:cs="Arial"/>
          <w:color w:val="333333"/>
          <w:sz w:val="32"/>
          <w:szCs w:val="32"/>
          <w:shd w:val="clear" w:color="auto" w:fill="FFFFFF"/>
          <w:lang w:eastAsia="zh-CN"/>
        </w:rPr>
        <w:t>寿县城乡居民养老保险管理服务中心</w:t>
      </w:r>
      <w:r>
        <w:rPr>
          <w:rFonts w:hint="eastAsia" w:ascii="仿宋_GB2312" w:hAnsi="Arial" w:eastAsia="仿宋_GB2312" w:cs="Arial"/>
          <w:color w:val="333333"/>
          <w:sz w:val="32"/>
          <w:szCs w:val="32"/>
          <w:shd w:val="clear" w:color="auto" w:fill="FFFFFF"/>
        </w:rPr>
        <w:t>于</w:t>
      </w:r>
      <w:r>
        <w:rPr>
          <w:rFonts w:hint="eastAsia" w:ascii="仿宋_GB2312" w:hAnsi="Arial" w:eastAsia="仿宋_GB2312" w:cs="Arial"/>
          <w:color w:val="333333"/>
          <w:sz w:val="32"/>
          <w:szCs w:val="32"/>
          <w:shd w:val="clear" w:color="auto" w:fill="FFFFFF"/>
          <w:lang w:val="en-US" w:eastAsia="zh-CN"/>
        </w:rPr>
        <w:t>2022</w:t>
      </w:r>
      <w:r>
        <w:rPr>
          <w:rFonts w:hint="eastAsia" w:ascii="仿宋_GB2312" w:hAnsi="Arial" w:eastAsia="仿宋_GB2312" w:cs="Arial"/>
          <w:color w:val="333333"/>
          <w:sz w:val="32"/>
          <w:szCs w:val="32"/>
          <w:shd w:val="clear" w:color="auto" w:fill="FFFFFF"/>
        </w:rPr>
        <w:t>年</w:t>
      </w:r>
      <w:r>
        <w:rPr>
          <w:rFonts w:hint="eastAsia" w:ascii="仿宋_GB2312" w:hAnsi="Arial" w:eastAsia="仿宋_GB2312" w:cs="Arial"/>
          <w:color w:val="333333"/>
          <w:sz w:val="32"/>
          <w:szCs w:val="32"/>
          <w:shd w:val="clear" w:color="auto" w:fill="FFFFFF"/>
          <w:lang w:val="en-US" w:eastAsia="zh-CN"/>
        </w:rPr>
        <w:t>10</w:t>
      </w:r>
      <w:r>
        <w:rPr>
          <w:rFonts w:hint="eastAsia" w:ascii="仿宋_GB2312" w:hAnsi="Arial" w:eastAsia="仿宋_GB2312" w:cs="Arial"/>
          <w:color w:val="333333"/>
          <w:sz w:val="32"/>
          <w:szCs w:val="32"/>
          <w:shd w:val="clear" w:color="auto" w:fill="FFFFFF"/>
        </w:rPr>
        <w:t>月</w:t>
      </w:r>
      <w:r>
        <w:rPr>
          <w:rFonts w:hint="eastAsia" w:ascii="仿宋_GB2312" w:hAnsi="Arial" w:eastAsia="仿宋_GB2312" w:cs="Arial"/>
          <w:color w:val="333333"/>
          <w:sz w:val="32"/>
          <w:szCs w:val="32"/>
          <w:shd w:val="clear" w:color="auto" w:fill="FFFFFF"/>
          <w:lang w:val="en-US" w:eastAsia="zh-CN"/>
        </w:rPr>
        <w:t>10</w:t>
      </w:r>
      <w:r>
        <w:rPr>
          <w:rFonts w:hint="eastAsia" w:ascii="仿宋_GB2312" w:hAnsi="Arial" w:eastAsia="仿宋_GB2312" w:cs="Arial"/>
          <w:color w:val="333333"/>
          <w:sz w:val="32"/>
          <w:szCs w:val="32"/>
          <w:shd w:val="clear" w:color="auto" w:fill="FFFFFF"/>
        </w:rPr>
        <w:t>日至</w:t>
      </w:r>
      <w:r>
        <w:rPr>
          <w:rFonts w:hint="eastAsia" w:ascii="仿宋_GB2312" w:hAnsi="Arial" w:eastAsia="仿宋_GB2312" w:cs="Arial"/>
          <w:color w:val="333333"/>
          <w:sz w:val="32"/>
          <w:szCs w:val="32"/>
          <w:shd w:val="clear" w:color="auto" w:fill="FFFFFF"/>
          <w:lang w:val="en-US" w:eastAsia="zh-CN"/>
        </w:rPr>
        <w:t>10</w:t>
      </w:r>
      <w:r>
        <w:rPr>
          <w:rFonts w:hint="eastAsia" w:ascii="仿宋_GB2312" w:hAnsi="Arial" w:eastAsia="仿宋_GB2312" w:cs="Arial"/>
          <w:color w:val="333333"/>
          <w:sz w:val="32"/>
          <w:szCs w:val="32"/>
          <w:shd w:val="clear" w:color="auto" w:fill="FFFFFF"/>
        </w:rPr>
        <w:t>月</w:t>
      </w:r>
      <w:r>
        <w:rPr>
          <w:rFonts w:hint="eastAsia" w:ascii="仿宋_GB2312" w:hAnsi="Arial" w:eastAsia="仿宋_GB2312" w:cs="Arial"/>
          <w:color w:val="333333"/>
          <w:sz w:val="32"/>
          <w:szCs w:val="32"/>
          <w:shd w:val="clear" w:color="auto" w:fill="FFFFFF"/>
          <w:lang w:val="en-US" w:eastAsia="zh-CN"/>
        </w:rPr>
        <w:t>18</w:t>
      </w:r>
      <w:r>
        <w:rPr>
          <w:rFonts w:hint="eastAsia" w:ascii="仿宋_GB2312" w:hAnsi="Arial" w:eastAsia="仿宋_GB2312" w:cs="Arial"/>
          <w:color w:val="333333"/>
          <w:sz w:val="32"/>
          <w:szCs w:val="32"/>
          <w:shd w:val="clear" w:color="auto" w:fill="FFFFFF"/>
        </w:rPr>
        <w:t>日对2023年预算定补人员生活补助等项目进行了预算评审。依据国家法律、法规和有关规定，本着客观、公正的原则，对项目的立项情况、项目建设的依据性和必要性、项目建设投资内容进行了评审，对相关工程量进行了现场踏勘、复核、单价计算等，现将评审情况报告如下：</w:t>
      </w:r>
    </w:p>
    <w:p>
      <w:pPr>
        <w:ind w:firstLine="640" w:firstLineChars="200"/>
        <w:rPr>
          <w:rFonts w:hint="eastAsia" w:ascii="黑体" w:hAnsi="黑体" w:eastAsia="黑体" w:cs="Arial"/>
          <w:color w:val="333333"/>
          <w:sz w:val="32"/>
          <w:szCs w:val="32"/>
          <w:shd w:val="clear" w:color="auto" w:fill="FFFFFF"/>
        </w:rPr>
      </w:pPr>
      <w:r>
        <w:rPr>
          <w:rFonts w:hint="eastAsia" w:ascii="黑体" w:hAnsi="黑体" w:eastAsia="黑体" w:cs="Arial"/>
          <w:color w:val="333333"/>
          <w:sz w:val="32"/>
          <w:szCs w:val="32"/>
          <w:shd w:val="clear" w:color="auto" w:fill="FFFFFF"/>
        </w:rPr>
        <w:t>一、基本情况</w:t>
      </w:r>
    </w:p>
    <w:p>
      <w:pPr>
        <w:ind w:firstLine="640" w:firstLineChars="200"/>
        <w:rPr>
          <w:rFonts w:hint="eastAsia" w:ascii="楷体_GB2312" w:hAnsi="楷体" w:eastAsia="楷体_GB2312" w:cs="Arial"/>
          <w:color w:val="333333"/>
          <w:sz w:val="32"/>
          <w:szCs w:val="32"/>
          <w:shd w:val="clear" w:color="auto" w:fill="FFFFFF"/>
        </w:rPr>
      </w:pPr>
      <w:r>
        <w:rPr>
          <w:rFonts w:hint="eastAsia" w:ascii="楷体_GB2312" w:hAnsi="楷体" w:eastAsia="楷体_GB2312" w:cs="Arial"/>
          <w:color w:val="333333"/>
          <w:sz w:val="32"/>
          <w:szCs w:val="32"/>
          <w:shd w:val="clear" w:color="auto" w:fill="FFFFFF"/>
        </w:rPr>
        <w:t>（一）项目概况</w:t>
      </w:r>
    </w:p>
    <w:p>
      <w:pPr>
        <w:ind w:firstLine="640" w:firstLineChars="200"/>
        <w:rPr>
          <w:rFonts w:hint="default" w:ascii="楷体_GB2312" w:hAnsi="楷体" w:eastAsia="楷体_GB2312" w:cs="Arial"/>
          <w:color w:val="333333"/>
          <w:sz w:val="32"/>
          <w:szCs w:val="32"/>
          <w:shd w:val="clear" w:color="auto" w:fill="FFFFFF"/>
          <w:lang w:val="en-US" w:eastAsia="zh-CN"/>
        </w:rPr>
      </w:pPr>
      <w:r>
        <w:rPr>
          <w:rFonts w:hint="eastAsia" w:ascii="楷体_GB2312" w:hAnsi="楷体" w:eastAsia="楷体_GB2312" w:cs="Arial"/>
          <w:color w:val="333333"/>
          <w:sz w:val="32"/>
          <w:szCs w:val="32"/>
          <w:shd w:val="clear" w:color="auto" w:fill="FFFFFF"/>
          <w:lang w:eastAsia="zh-CN"/>
        </w:rPr>
        <w:t>我单位共有特定目标类项目</w:t>
      </w:r>
      <w:r>
        <w:rPr>
          <w:rFonts w:hint="eastAsia" w:ascii="楷体_GB2312" w:hAnsi="楷体" w:eastAsia="楷体_GB2312" w:cs="Arial"/>
          <w:color w:val="333333"/>
          <w:sz w:val="32"/>
          <w:szCs w:val="32"/>
          <w:shd w:val="clear" w:color="auto" w:fill="FFFFFF"/>
          <w:lang w:val="en-US" w:eastAsia="zh-CN"/>
        </w:rPr>
        <w:t>7个，涉及资金15696.34万元，具体包括以下几项：</w:t>
      </w:r>
    </w:p>
    <w:p>
      <w:pPr>
        <w:ind w:firstLine="640" w:firstLineChars="200"/>
        <w:rPr>
          <w:rFonts w:hint="eastAsia" w:ascii="楷体_GB2312" w:hAnsi="楷体" w:eastAsia="楷体_GB2312" w:cs="Arial"/>
          <w:color w:val="333333"/>
          <w:sz w:val="32"/>
          <w:szCs w:val="32"/>
          <w:shd w:val="clear" w:color="auto" w:fill="FFFFFF"/>
          <w:lang w:val="en-US" w:eastAsia="zh-CN"/>
        </w:rPr>
      </w:pPr>
      <w:r>
        <w:rPr>
          <w:rFonts w:hint="eastAsia" w:ascii="楷体_GB2312" w:hAnsi="楷体" w:eastAsia="楷体_GB2312" w:cs="Arial"/>
          <w:color w:val="333333"/>
          <w:sz w:val="32"/>
          <w:szCs w:val="32"/>
          <w:shd w:val="clear" w:color="auto" w:fill="FFFFFF"/>
          <w:lang w:val="en-US" w:eastAsia="zh-CN"/>
        </w:rPr>
        <w:t>1、定补人员生活补助主要为了保障寿县城乡居民养老保险管理服务中心财政定补人员生活补助，工资标准按照单位其他工作人员的平均工资列入年初财政预算。经核算，2023年定补人员生活补助经费需要34.1万元。</w:t>
      </w:r>
    </w:p>
    <w:p>
      <w:pPr>
        <w:ind w:firstLine="640" w:firstLineChars="200"/>
        <w:rPr>
          <w:rFonts w:hint="eastAsia" w:ascii="楷体_GB2312" w:hAnsi="楷体" w:eastAsia="楷体_GB2312" w:cs="Arial"/>
          <w:color w:val="333333"/>
          <w:sz w:val="32"/>
          <w:szCs w:val="32"/>
          <w:shd w:val="clear" w:color="auto" w:fill="FFFFFF"/>
          <w:lang w:val="en-US" w:eastAsia="zh-CN"/>
        </w:rPr>
      </w:pPr>
      <w:r>
        <w:rPr>
          <w:rFonts w:hint="eastAsia" w:ascii="楷体_GB2312" w:hAnsi="楷体" w:eastAsia="楷体_GB2312" w:cs="Arial"/>
          <w:color w:val="333333"/>
          <w:sz w:val="32"/>
          <w:szCs w:val="32"/>
          <w:shd w:val="clear" w:color="auto" w:fill="FFFFFF"/>
          <w:lang w:val="en-US" w:eastAsia="zh-CN"/>
        </w:rPr>
        <w:t>2、城乡居民养老保险工作经费主要为了保障城乡居民养老保险工作的顺利实施，完成2023年度城乡居民养老保险各项任务。我县城乡居民养老保险总参保人数85万人，按照每人每年1元的标准，核定城乡居民养老保险专项工作经费，用于宣传、打印等工作必要开支,拨付城乡居保中心档案整理经费主要用于完成城乡居民养老保险档案整理任务，建立档案管理系统，测算需要经费5万元,合计年需要资金90万元。</w:t>
      </w:r>
    </w:p>
    <w:p>
      <w:pPr>
        <w:ind w:firstLine="640" w:firstLineChars="200"/>
        <w:rPr>
          <w:rFonts w:hint="eastAsia" w:ascii="楷体_GB2312" w:hAnsi="楷体" w:eastAsia="楷体_GB2312" w:cs="Arial"/>
          <w:color w:val="333333"/>
          <w:sz w:val="32"/>
          <w:szCs w:val="32"/>
          <w:shd w:val="clear" w:color="auto" w:fill="FFFFFF"/>
          <w:lang w:val="en-US" w:eastAsia="zh-CN"/>
        </w:rPr>
      </w:pPr>
      <w:r>
        <w:rPr>
          <w:rFonts w:hint="eastAsia" w:ascii="楷体_GB2312" w:hAnsi="楷体" w:eastAsia="楷体_GB2312" w:cs="Arial"/>
          <w:color w:val="333333"/>
          <w:sz w:val="32"/>
          <w:szCs w:val="32"/>
          <w:shd w:val="clear" w:color="auto" w:fill="FFFFFF"/>
          <w:lang w:val="en-US" w:eastAsia="zh-CN"/>
        </w:rPr>
        <w:t>3、非部门预算拨付2023年基层社保协理员工作经费(城乡居民养老保险村级服务平台保障经费)主要用于构建城乡居民养老保险村级服务平台。全县281个村，每村1位社保协理员，月生活补助标准200元，年所需经费68万元。</w:t>
      </w:r>
    </w:p>
    <w:p>
      <w:pPr>
        <w:ind w:firstLine="640" w:firstLineChars="200"/>
        <w:rPr>
          <w:rFonts w:hint="eastAsia" w:ascii="楷体_GB2312" w:hAnsi="楷体" w:eastAsia="楷体_GB2312" w:cs="Arial"/>
          <w:color w:val="333333"/>
          <w:sz w:val="32"/>
          <w:szCs w:val="32"/>
          <w:shd w:val="clear" w:color="auto" w:fill="FFFFFF"/>
          <w:lang w:val="en-US" w:eastAsia="zh-CN"/>
        </w:rPr>
      </w:pPr>
      <w:r>
        <w:rPr>
          <w:rFonts w:hint="eastAsia" w:ascii="楷体_GB2312" w:hAnsi="楷体" w:eastAsia="楷体_GB2312" w:cs="Arial"/>
          <w:color w:val="333333"/>
          <w:sz w:val="32"/>
          <w:szCs w:val="32"/>
          <w:shd w:val="clear" w:color="auto" w:fill="FFFFFF"/>
          <w:lang w:val="en-US" w:eastAsia="zh-CN"/>
        </w:rPr>
        <w:t>4、非部门预算拨付2023年城乡居保中心信息对比经费主要用于做好城乡居民养老保险享受待遇人员发放信息对比工作，测算需要经费5万元</w:t>
      </w:r>
    </w:p>
    <w:p>
      <w:pPr>
        <w:ind w:firstLine="640" w:firstLineChars="200"/>
        <w:rPr>
          <w:rFonts w:hint="eastAsia" w:ascii="楷体_GB2312" w:hAnsi="楷体" w:eastAsia="楷体_GB2312" w:cs="Arial"/>
          <w:color w:val="333333"/>
          <w:sz w:val="32"/>
          <w:szCs w:val="32"/>
          <w:shd w:val="clear" w:color="auto" w:fill="FFFFFF"/>
          <w:lang w:val="en-US" w:eastAsia="zh-CN"/>
        </w:rPr>
      </w:pPr>
      <w:r>
        <w:rPr>
          <w:rFonts w:hint="eastAsia" w:ascii="楷体_GB2312" w:hAnsi="楷体" w:eastAsia="楷体_GB2312" w:cs="Arial"/>
          <w:color w:val="333333"/>
          <w:sz w:val="32"/>
          <w:szCs w:val="32"/>
          <w:shd w:val="clear" w:color="auto" w:fill="FFFFFF"/>
          <w:lang w:val="en-US" w:eastAsia="zh-CN"/>
        </w:rPr>
        <w:t>5、村干部养老保险财政补助主要用于全面提升寿县农村基层党建工作保障水平，正职干部参保166人， 一般干部参保438人，正职干部补贴标准930元，一般干部补贴标准750元，年所需经费48万元。</w:t>
      </w:r>
    </w:p>
    <w:p>
      <w:pPr>
        <w:ind w:firstLine="640" w:firstLineChars="200"/>
        <w:rPr>
          <w:rFonts w:hint="eastAsia" w:ascii="楷体_GB2312" w:hAnsi="楷体" w:eastAsia="楷体_GB2312" w:cs="Arial"/>
          <w:color w:val="333333"/>
          <w:sz w:val="32"/>
          <w:szCs w:val="32"/>
          <w:shd w:val="clear" w:color="auto" w:fill="FFFFFF"/>
          <w:lang w:val="en-US" w:eastAsia="zh-CN"/>
        </w:rPr>
      </w:pPr>
      <w:r>
        <w:rPr>
          <w:rFonts w:hint="eastAsia" w:ascii="楷体_GB2312" w:hAnsi="楷体" w:eastAsia="楷体_GB2312" w:cs="Arial"/>
          <w:color w:val="333333"/>
          <w:sz w:val="32"/>
          <w:szCs w:val="32"/>
          <w:shd w:val="clear" w:color="auto" w:fill="FFFFFF"/>
          <w:lang w:val="en-US" w:eastAsia="zh-CN"/>
        </w:rPr>
        <w:t>6、城乡居民养老保险补助主要用于做好对城乡居保特殊参保人群的政府补贴工作，经测算年所需经费13003.24万元。</w:t>
      </w:r>
    </w:p>
    <w:p>
      <w:pPr>
        <w:ind w:firstLine="640" w:firstLineChars="200"/>
        <w:rPr>
          <w:rFonts w:hint="default" w:ascii="楷体_GB2312" w:hAnsi="楷体" w:eastAsia="楷体_GB2312" w:cs="Arial"/>
          <w:color w:val="333333"/>
          <w:sz w:val="32"/>
          <w:szCs w:val="32"/>
          <w:shd w:val="clear" w:color="auto" w:fill="FFFFFF"/>
          <w:lang w:val="en-US" w:eastAsia="zh-CN"/>
        </w:rPr>
      </w:pPr>
      <w:r>
        <w:rPr>
          <w:rFonts w:hint="eastAsia" w:ascii="楷体_GB2312" w:hAnsi="楷体" w:eastAsia="楷体_GB2312" w:cs="Arial"/>
          <w:color w:val="333333"/>
          <w:sz w:val="32"/>
          <w:szCs w:val="32"/>
          <w:shd w:val="clear" w:color="auto" w:fill="FFFFFF"/>
          <w:lang w:val="en-US" w:eastAsia="zh-CN"/>
        </w:rPr>
        <w:t>7、被征地农民养老保险补助主要用于做好被征地农民社会保障工作，建立健全被征地农民养老补助机制，2023年预计享受待遇人数1万人，人均每月基础养老金标准204元，全年所需经费2448万元。</w:t>
      </w:r>
    </w:p>
    <w:p>
      <w:pPr>
        <w:ind w:firstLine="640" w:firstLineChars="200"/>
        <w:rPr>
          <w:rFonts w:hint="eastAsia" w:ascii="楷体_GB2312" w:hAnsi="楷体" w:eastAsia="楷体_GB2312" w:cs="Arial"/>
          <w:color w:val="333333"/>
          <w:sz w:val="32"/>
          <w:szCs w:val="32"/>
          <w:shd w:val="clear" w:color="auto" w:fill="FFFFFF"/>
        </w:rPr>
      </w:pPr>
      <w:r>
        <w:rPr>
          <w:rFonts w:hint="eastAsia" w:ascii="楷体_GB2312" w:hAnsi="楷体" w:eastAsia="楷体_GB2312" w:cs="Arial"/>
          <w:color w:val="333333"/>
          <w:sz w:val="32"/>
          <w:szCs w:val="32"/>
          <w:shd w:val="clear" w:color="auto" w:fill="FFFFFF"/>
        </w:rPr>
        <w:t>（二）项目立项及绩效目标制定情况</w:t>
      </w:r>
    </w:p>
    <w:p>
      <w:pPr>
        <w:ind w:firstLine="640" w:firstLineChars="200"/>
        <w:rPr>
          <w:rFonts w:hint="eastAsia" w:ascii="楷体_GB2312" w:hAnsi="楷体" w:eastAsia="楷体_GB2312" w:cs="Arial"/>
          <w:color w:val="333333"/>
          <w:sz w:val="32"/>
          <w:szCs w:val="32"/>
          <w:shd w:val="clear" w:color="auto" w:fill="FFFFFF"/>
          <w:lang w:val="en-US" w:eastAsia="zh-CN"/>
        </w:rPr>
      </w:pPr>
      <w:r>
        <w:rPr>
          <w:rFonts w:hint="eastAsia" w:ascii="楷体_GB2312" w:hAnsi="楷体" w:eastAsia="楷体_GB2312" w:cs="Arial"/>
          <w:color w:val="333333"/>
          <w:sz w:val="32"/>
          <w:szCs w:val="32"/>
          <w:shd w:val="clear" w:color="auto" w:fill="FFFFFF"/>
          <w:lang w:val="en-US" w:eastAsia="zh-CN"/>
        </w:rPr>
        <w:t>1、定补人员生活补助2022年立项并审批通过，依据县人社局印发《关于要求财政追加绩效工资增资的请示》寿人社（2012）72号文件，符合列入2023年预算条件。</w:t>
      </w:r>
    </w:p>
    <w:p>
      <w:pPr>
        <w:ind w:firstLine="640" w:firstLineChars="200"/>
        <w:rPr>
          <w:rFonts w:hint="eastAsia" w:ascii="楷体_GB2312" w:hAnsi="楷体" w:eastAsia="楷体_GB2312" w:cs="Arial"/>
          <w:color w:val="333333"/>
          <w:sz w:val="32"/>
          <w:szCs w:val="32"/>
          <w:shd w:val="clear" w:color="auto" w:fill="FFFFFF"/>
          <w:lang w:val="en-US" w:eastAsia="zh-CN"/>
        </w:rPr>
      </w:pPr>
      <w:r>
        <w:rPr>
          <w:rFonts w:hint="eastAsia" w:ascii="楷体_GB2312" w:hAnsi="楷体" w:eastAsia="楷体_GB2312" w:cs="Arial"/>
          <w:color w:val="333333"/>
          <w:sz w:val="32"/>
          <w:szCs w:val="32"/>
          <w:shd w:val="clear" w:color="auto" w:fill="FFFFFF"/>
          <w:lang w:val="en-US" w:eastAsia="zh-CN"/>
        </w:rPr>
        <w:t>2、城乡居民养老保险工作经费2022年立项并审批通过，依据县人社局印发《关于要求将城乡居民养老保险相关工作经费列入财政预算的请示》寿人社（2011）38号文件和县人民政府办公室印发《寿县人民政府办公室关于做好城乡居民养老保险业务档案管理达标验收工作的通知》寿政办秘（2015）119号文件，符合列入2023年预算条件。</w:t>
      </w:r>
    </w:p>
    <w:p>
      <w:pPr>
        <w:ind w:firstLine="640" w:firstLineChars="200"/>
        <w:rPr>
          <w:rFonts w:hint="eastAsia" w:ascii="楷体_GB2312" w:hAnsi="楷体" w:eastAsia="楷体_GB2312" w:cs="Arial"/>
          <w:color w:val="333333"/>
          <w:sz w:val="32"/>
          <w:szCs w:val="32"/>
          <w:shd w:val="clear" w:color="auto" w:fill="FFFFFF"/>
          <w:lang w:val="en-US" w:eastAsia="zh-CN"/>
        </w:rPr>
      </w:pPr>
      <w:r>
        <w:rPr>
          <w:rFonts w:hint="eastAsia" w:ascii="楷体_GB2312" w:hAnsi="楷体" w:eastAsia="楷体_GB2312" w:cs="Arial"/>
          <w:color w:val="333333"/>
          <w:sz w:val="32"/>
          <w:szCs w:val="32"/>
          <w:shd w:val="clear" w:color="auto" w:fill="FFFFFF"/>
          <w:lang w:val="en-US" w:eastAsia="zh-CN"/>
        </w:rPr>
        <w:t>3、非部门预算拨付2023年基层社保协理员工作经费(城乡居民养老保险村级服务平台保障经费)2022年立项并审批通过，依据县人社局印发《关于要求解决城乡居民养老保险村级服务平台保障经费的请示》寿人社（2016）64号文件，符合列入2023年预算条件。</w:t>
      </w:r>
    </w:p>
    <w:p>
      <w:pPr>
        <w:ind w:firstLine="640" w:firstLineChars="200"/>
        <w:rPr>
          <w:rFonts w:hint="eastAsia" w:ascii="楷体_GB2312" w:hAnsi="楷体" w:eastAsia="楷体_GB2312" w:cs="Arial"/>
          <w:color w:val="333333"/>
          <w:sz w:val="32"/>
          <w:szCs w:val="32"/>
          <w:shd w:val="clear" w:color="auto" w:fill="FFFFFF"/>
          <w:lang w:val="en-US" w:eastAsia="zh-CN"/>
        </w:rPr>
      </w:pPr>
      <w:r>
        <w:rPr>
          <w:rFonts w:hint="eastAsia" w:ascii="楷体_GB2312" w:hAnsi="楷体" w:eastAsia="楷体_GB2312" w:cs="Arial"/>
          <w:color w:val="333333"/>
          <w:sz w:val="32"/>
          <w:szCs w:val="32"/>
          <w:shd w:val="clear" w:color="auto" w:fill="FFFFFF"/>
          <w:lang w:val="en-US" w:eastAsia="zh-CN"/>
        </w:rPr>
        <w:t>4、非部门预算拨付2023年城乡居保中心信息对比经费2022年立项并审批通过，依据省人社厅印发《关于加强城乡居民基本养老保险领取待遇人员信息对比工作的通知》皖人社秘（2015）239号文件，符合列入2023年预算条件。</w:t>
      </w:r>
    </w:p>
    <w:p>
      <w:pPr>
        <w:ind w:firstLine="640" w:firstLineChars="200"/>
        <w:rPr>
          <w:rFonts w:hint="eastAsia" w:ascii="楷体_GB2312" w:hAnsi="楷体" w:eastAsia="楷体_GB2312" w:cs="Arial"/>
          <w:color w:val="333333"/>
          <w:sz w:val="32"/>
          <w:szCs w:val="32"/>
          <w:shd w:val="clear" w:color="auto" w:fill="FFFFFF"/>
          <w:lang w:val="en-US" w:eastAsia="zh-CN"/>
        </w:rPr>
      </w:pPr>
      <w:r>
        <w:rPr>
          <w:rFonts w:hint="eastAsia" w:ascii="楷体_GB2312" w:hAnsi="楷体" w:eastAsia="楷体_GB2312" w:cs="Arial"/>
          <w:color w:val="333333"/>
          <w:sz w:val="32"/>
          <w:szCs w:val="32"/>
          <w:shd w:val="clear" w:color="auto" w:fill="FFFFFF"/>
          <w:lang w:val="en-US" w:eastAsia="zh-CN"/>
        </w:rPr>
        <w:t>5、村干部养老保险财政补助2022年立项并审批通过，依据县人民政府办公室印发《寿县人民政府办公室关于在职村干部参加城镇企业职工基本养老保险有关事项的通知》寿政办秘[2016]143号文件，符合列入2023年预算条件。</w:t>
      </w:r>
    </w:p>
    <w:p>
      <w:pPr>
        <w:ind w:firstLine="640" w:firstLineChars="200"/>
        <w:rPr>
          <w:rFonts w:hint="eastAsia" w:ascii="楷体_GB2312" w:hAnsi="楷体" w:eastAsia="楷体_GB2312" w:cs="Arial"/>
          <w:color w:val="333333"/>
          <w:sz w:val="32"/>
          <w:szCs w:val="32"/>
          <w:shd w:val="clear" w:color="auto" w:fill="FFFFFF"/>
          <w:lang w:val="en-US" w:eastAsia="zh-CN"/>
        </w:rPr>
      </w:pPr>
      <w:r>
        <w:rPr>
          <w:rFonts w:hint="eastAsia" w:ascii="楷体_GB2312" w:hAnsi="楷体" w:eastAsia="楷体_GB2312" w:cs="Arial"/>
          <w:color w:val="333333"/>
          <w:sz w:val="32"/>
          <w:szCs w:val="32"/>
          <w:shd w:val="clear" w:color="auto" w:fill="FFFFFF"/>
          <w:lang w:val="en-US" w:eastAsia="zh-CN"/>
        </w:rPr>
        <w:t>6、城乡居民养老保险补助2022年立项并审批通过，依据县人民政府印发《寿县城乡居民社会养老保险实施办法的通知》寿政（2011）56号文件和省人社厅、财政厅联合印发《关于建立城乡居民基本养老保险待遇确定和基础养老金正常调整机制的实施意见》皖人社发（2019）15号文件，符合列入2023年预算条件。</w:t>
      </w:r>
    </w:p>
    <w:p>
      <w:pPr>
        <w:ind w:firstLine="640" w:firstLineChars="200"/>
        <w:rPr>
          <w:rFonts w:hint="eastAsia" w:ascii="楷体_GB2312" w:hAnsi="楷体" w:eastAsia="楷体_GB2312" w:cs="Arial"/>
          <w:color w:val="333333"/>
          <w:sz w:val="32"/>
          <w:szCs w:val="32"/>
          <w:shd w:val="clear" w:color="auto" w:fill="FFFFFF"/>
          <w:lang w:val="en-US" w:eastAsia="zh-CN"/>
        </w:rPr>
      </w:pPr>
      <w:r>
        <w:rPr>
          <w:rFonts w:hint="eastAsia" w:ascii="楷体_GB2312" w:hAnsi="楷体" w:eastAsia="楷体_GB2312" w:cs="Arial"/>
          <w:color w:val="333333"/>
          <w:sz w:val="32"/>
          <w:szCs w:val="32"/>
          <w:shd w:val="clear" w:color="auto" w:fill="FFFFFF"/>
          <w:lang w:val="en-US" w:eastAsia="zh-CN"/>
        </w:rPr>
        <w:t>7、被征地农民养老保险补助2022年立项并审批通过，依据寿县人民政府印发《关于寿县被征地农民养老保险办法的通知》寿政（2019）6号文件，符合列入2023年预算条件。</w:t>
      </w:r>
    </w:p>
    <w:p>
      <w:pPr>
        <w:ind w:firstLine="640" w:firstLineChars="200"/>
        <w:rPr>
          <w:rFonts w:hint="eastAsia" w:ascii="黑体" w:hAnsi="黑体" w:eastAsia="黑体" w:cs="Arial"/>
          <w:color w:val="333333"/>
          <w:sz w:val="32"/>
          <w:szCs w:val="32"/>
          <w:shd w:val="clear" w:color="auto" w:fill="FFFFFF"/>
        </w:rPr>
      </w:pPr>
      <w:r>
        <w:rPr>
          <w:rFonts w:hint="eastAsia" w:ascii="黑体" w:hAnsi="黑体" w:eastAsia="黑体" w:cs="Arial"/>
          <w:color w:val="333333"/>
          <w:sz w:val="32"/>
          <w:szCs w:val="32"/>
          <w:shd w:val="clear" w:color="auto" w:fill="FFFFFF"/>
        </w:rPr>
        <w:t>二、评审结论及审减（增）原因</w:t>
      </w:r>
    </w:p>
    <w:p>
      <w:pPr>
        <w:ind w:firstLine="643" w:firstLineChars="200"/>
        <w:rPr>
          <w:rFonts w:hint="eastAsia" w:ascii="楷体_GB2312" w:hAnsi="楷体" w:eastAsia="楷体_GB2312" w:cs="Arial"/>
          <w:b/>
          <w:color w:val="333333"/>
          <w:sz w:val="32"/>
          <w:szCs w:val="32"/>
          <w:shd w:val="clear" w:color="auto" w:fill="FFFFFF"/>
        </w:rPr>
      </w:pPr>
      <w:r>
        <w:rPr>
          <w:rFonts w:hint="eastAsia" w:ascii="楷体_GB2312" w:hAnsi="楷体" w:eastAsia="楷体_GB2312" w:cs="Arial"/>
          <w:b/>
          <w:color w:val="333333"/>
          <w:sz w:val="32"/>
          <w:szCs w:val="32"/>
          <w:shd w:val="clear" w:color="auto" w:fill="FFFFFF"/>
        </w:rPr>
        <w:t>（一）评审结论</w:t>
      </w:r>
    </w:p>
    <w:p>
      <w:pPr>
        <w:ind w:firstLine="640" w:firstLineChars="200"/>
        <w:rPr>
          <w:rFonts w:hint="eastAsia" w:ascii="仿宋_GB2312" w:hAnsi="黑体" w:eastAsia="仿宋_GB2312" w:cs="黑体"/>
          <w:color w:val="000000"/>
          <w:sz w:val="32"/>
          <w:szCs w:val="32"/>
        </w:rPr>
      </w:pPr>
      <w:r>
        <w:rPr>
          <w:rFonts w:hint="eastAsia" w:ascii="仿宋_GB2312" w:hAnsi="Arial" w:eastAsia="仿宋_GB2312" w:cs="Arial"/>
          <w:color w:val="333333"/>
          <w:sz w:val="32"/>
          <w:szCs w:val="32"/>
          <w:shd w:val="clear" w:color="auto" w:fill="FFFFFF"/>
          <w:lang w:eastAsia="zh-CN"/>
        </w:rPr>
        <w:t>特定目标类</w:t>
      </w:r>
      <w:r>
        <w:rPr>
          <w:rFonts w:hint="eastAsia" w:ascii="仿宋_GB2312" w:hAnsi="Arial" w:eastAsia="仿宋_GB2312" w:cs="Arial"/>
          <w:color w:val="333333"/>
          <w:sz w:val="32"/>
          <w:szCs w:val="32"/>
          <w:shd w:val="clear" w:color="auto" w:fill="FFFFFF"/>
          <w:lang w:val="en-US" w:eastAsia="zh-CN"/>
        </w:rPr>
        <w:t>7个</w:t>
      </w:r>
      <w:r>
        <w:rPr>
          <w:rFonts w:hint="eastAsia" w:ascii="仿宋_GB2312" w:hAnsi="Arial" w:eastAsia="仿宋_GB2312" w:cs="Arial"/>
          <w:color w:val="333333"/>
          <w:sz w:val="32"/>
          <w:szCs w:val="32"/>
          <w:shd w:val="clear" w:color="auto" w:fill="FFFFFF"/>
        </w:rPr>
        <w:t>项目经费报审投资</w:t>
      </w:r>
      <w:r>
        <w:rPr>
          <w:rFonts w:hint="eastAsia" w:ascii="楷体_GB2312" w:hAnsi="楷体" w:eastAsia="楷体_GB2312" w:cs="Arial"/>
          <w:color w:val="333333"/>
          <w:sz w:val="32"/>
          <w:szCs w:val="32"/>
          <w:shd w:val="clear" w:color="auto" w:fill="FFFFFF"/>
          <w:lang w:val="en-US" w:eastAsia="zh-CN"/>
        </w:rPr>
        <w:t>15696.34</w:t>
      </w:r>
      <w:r>
        <w:rPr>
          <w:rFonts w:hint="eastAsia" w:ascii="仿宋_GB2312" w:hAnsi="Arial" w:eastAsia="仿宋_GB2312" w:cs="Arial"/>
          <w:color w:val="333333"/>
          <w:sz w:val="32"/>
          <w:szCs w:val="32"/>
          <w:shd w:val="clear" w:color="auto" w:fill="FFFFFF"/>
        </w:rPr>
        <w:t>万元，评审审定预算建议数为</w:t>
      </w:r>
      <w:r>
        <w:rPr>
          <w:rFonts w:hint="eastAsia" w:ascii="楷体_GB2312" w:hAnsi="楷体" w:eastAsia="楷体_GB2312" w:cs="Arial"/>
          <w:color w:val="333333"/>
          <w:sz w:val="32"/>
          <w:szCs w:val="32"/>
          <w:shd w:val="clear" w:color="auto" w:fill="FFFFFF"/>
          <w:lang w:val="en-US" w:eastAsia="zh-CN"/>
        </w:rPr>
        <w:t>15696.34</w:t>
      </w:r>
      <w:r>
        <w:rPr>
          <w:rFonts w:hint="eastAsia" w:ascii="仿宋_GB2312" w:hAnsi="Arial" w:eastAsia="仿宋_GB2312" w:cs="Arial"/>
          <w:color w:val="333333"/>
          <w:sz w:val="32"/>
          <w:szCs w:val="32"/>
          <w:shd w:val="clear" w:color="auto" w:fill="FFFFFF"/>
        </w:rPr>
        <w:t>万元，审减</w:t>
      </w:r>
      <w:r>
        <w:rPr>
          <w:rFonts w:hint="eastAsia" w:ascii="仿宋_GB2312" w:hAnsi="Arial" w:eastAsia="仿宋_GB2312" w:cs="Arial"/>
          <w:color w:val="333333"/>
          <w:sz w:val="32"/>
          <w:szCs w:val="32"/>
          <w:shd w:val="clear" w:color="auto" w:fill="FFFFFF"/>
          <w:lang w:val="en-US" w:eastAsia="zh-CN"/>
        </w:rPr>
        <w:t>0</w:t>
      </w:r>
      <w:r>
        <w:rPr>
          <w:rFonts w:hint="eastAsia" w:ascii="仿宋_GB2312" w:hAnsi="Arial" w:eastAsia="仿宋_GB2312" w:cs="Arial"/>
          <w:color w:val="333333"/>
          <w:sz w:val="32"/>
          <w:szCs w:val="32"/>
          <w:shd w:val="clear" w:color="auto" w:fill="FFFFFF"/>
        </w:rPr>
        <w:t>万元。</w:t>
      </w:r>
      <w:r>
        <w:rPr>
          <w:rFonts w:hint="eastAsia" w:ascii="Arial" w:hAnsi="Arial" w:eastAsia="仿宋_GB2312" w:cs="Arial"/>
          <w:color w:val="333333"/>
          <w:sz w:val="32"/>
          <w:szCs w:val="32"/>
          <w:shd w:val="clear" w:color="auto" w:fill="FFFFFF"/>
        </w:rPr>
        <w:t> </w:t>
      </w:r>
      <w:r>
        <w:rPr>
          <w:rFonts w:hint="eastAsia" w:ascii="仿宋_GB2312" w:eastAsia="仿宋_GB2312"/>
          <w:bCs/>
          <w:color w:val="000000"/>
          <w:sz w:val="32"/>
          <w:szCs w:val="32"/>
        </w:rPr>
        <w:t xml:space="preserve"> </w:t>
      </w:r>
    </w:p>
    <w:p>
      <w:pPr>
        <w:pStyle w:val="4"/>
        <w:shd w:val="clear" w:color="auto" w:fill="FFFFFF"/>
        <w:topLinePunct/>
        <w:spacing w:beforeAutospacing="0" w:afterAutospacing="0" w:line="560" w:lineRule="exact"/>
        <w:ind w:firstLine="640" w:firstLineChars="200"/>
        <w:jc w:val="both"/>
        <w:rPr>
          <w:rFonts w:hint="eastAsia" w:ascii="黑体" w:hAnsi="黑体" w:eastAsia="黑体" w:cs="黑体"/>
          <w:color w:val="000000"/>
          <w:sz w:val="32"/>
          <w:szCs w:val="32"/>
        </w:rPr>
      </w:pPr>
      <w:r>
        <w:rPr>
          <w:rFonts w:hint="eastAsia" w:ascii="黑体" w:hAnsi="黑体" w:eastAsia="黑体" w:cs="黑体"/>
          <w:color w:val="000000"/>
          <w:sz w:val="32"/>
          <w:szCs w:val="32"/>
        </w:rPr>
        <w:t>三、其他需要说明的问题</w:t>
      </w:r>
      <w:bookmarkStart w:id="0" w:name="_GoBack"/>
      <w:bookmarkEnd w:id="0"/>
    </w:p>
    <w:p>
      <w:pPr>
        <w:pStyle w:val="4"/>
        <w:shd w:val="clear" w:color="auto" w:fill="FFFFFF"/>
        <w:topLinePunct/>
        <w:spacing w:beforeAutospacing="0" w:afterAutospacing="0" w:line="560" w:lineRule="exact"/>
        <w:ind w:firstLine="640" w:firstLineChars="200"/>
        <w:jc w:val="both"/>
        <w:rPr>
          <w:rFonts w:hint="eastAsia" w:ascii="仿宋_GB2312" w:hAnsi="仿宋" w:eastAsia="仿宋_GB2312" w:cs="仿宋_GB2312"/>
          <w:color w:val="000000"/>
          <w:sz w:val="32"/>
          <w:szCs w:val="32"/>
          <w:lang w:val="en-US" w:eastAsia="zh-CN"/>
        </w:rPr>
      </w:pPr>
      <w:r>
        <w:rPr>
          <w:rFonts w:hint="eastAsia" w:ascii="仿宋_GB2312" w:hAnsi="仿宋" w:eastAsia="仿宋_GB2312" w:cs="仿宋_GB2312"/>
          <w:color w:val="000000"/>
          <w:sz w:val="32"/>
          <w:szCs w:val="32"/>
          <w:lang w:eastAsia="zh-CN"/>
        </w:rPr>
        <w:t>无</w:t>
      </w:r>
      <w:r>
        <w:rPr>
          <w:rFonts w:hint="eastAsia" w:ascii="仿宋_GB2312" w:hAnsi="仿宋" w:eastAsia="仿宋_GB2312" w:cs="仿宋_GB2312"/>
          <w:color w:val="000000"/>
          <w:sz w:val="32"/>
          <w:szCs w:val="32"/>
          <w:lang w:val="en-US" w:eastAsia="zh-CN"/>
        </w:rPr>
        <w:t xml:space="preserve"> </w:t>
      </w:r>
    </w:p>
    <w:p>
      <w:pPr>
        <w:pStyle w:val="4"/>
        <w:shd w:val="clear" w:color="auto" w:fill="FFFFFF"/>
        <w:topLinePunct/>
        <w:spacing w:beforeAutospacing="0" w:afterAutospacing="0" w:line="560" w:lineRule="exact"/>
        <w:ind w:firstLine="640" w:firstLineChars="200"/>
        <w:jc w:val="both"/>
        <w:rPr>
          <w:rFonts w:hint="eastAsia" w:ascii="仿宋_GB2312" w:hAnsi="仿宋" w:eastAsia="仿宋_GB2312" w:cs="仿宋_GB2312"/>
          <w:color w:val="000000"/>
          <w:sz w:val="32"/>
          <w:szCs w:val="32"/>
          <w:lang w:val="en-US" w:eastAsia="zh-CN"/>
        </w:rPr>
      </w:pPr>
    </w:p>
    <w:p>
      <w:pPr>
        <w:pStyle w:val="4"/>
        <w:shd w:val="clear" w:color="auto" w:fill="FFFFFF"/>
        <w:topLinePunct/>
        <w:spacing w:beforeAutospacing="0" w:afterAutospacing="0" w:line="560" w:lineRule="exact"/>
        <w:ind w:firstLine="640" w:firstLineChars="200"/>
        <w:jc w:val="both"/>
        <w:rPr>
          <w:rFonts w:hint="default" w:ascii="仿宋_GB2312" w:hAnsi="仿宋" w:eastAsia="仿宋_GB2312" w:cs="仿宋_GB2312"/>
          <w:color w:val="000000"/>
          <w:sz w:val="32"/>
          <w:szCs w:val="32"/>
          <w:lang w:val="en-US" w:eastAsia="zh-CN"/>
        </w:rPr>
      </w:pPr>
      <w:r>
        <w:rPr>
          <w:rFonts w:hint="eastAsia" w:ascii="仿宋_GB2312" w:hAnsi="仿宋" w:eastAsia="仿宋_GB2312" w:cs="仿宋_GB2312"/>
          <w:color w:val="000000"/>
          <w:sz w:val="32"/>
          <w:szCs w:val="32"/>
          <w:lang w:val="en-US" w:eastAsia="zh-CN"/>
        </w:rPr>
        <w:t xml:space="preserve">                              2022年10月19日</w:t>
      </w:r>
    </w:p>
    <w:p>
      <w:pPr>
        <w:jc w:val="left"/>
        <w:rPr>
          <w:rFonts w:hint="eastAsia" w:ascii="仿宋_GB2312" w:hAnsi="楷体"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仿宋">
    <w:altName w:val="微软雅黑"/>
    <w:panose1 w:val="02010609060101010101"/>
    <w:charset w:val="86"/>
    <w:family w:val="modern"/>
    <w:pitch w:val="default"/>
    <w:sig w:usb0="00000000" w:usb1="00000000" w:usb2="00000016" w:usb3="00000000" w:csb0="00040001" w:csb1="00000000"/>
  </w:font>
  <w:font w:name="微软雅黑">
    <w:panose1 w:val="020B0503020204020204"/>
    <w:charset w:val="86"/>
    <w:family w:val="auto"/>
    <w:pitch w:val="default"/>
    <w:sig w:usb0="80000287" w:usb1="2A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74EF0"/>
    <w:rsid w:val="00081AB9"/>
    <w:rsid w:val="000E6D1B"/>
    <w:rsid w:val="001708E1"/>
    <w:rsid w:val="00174E72"/>
    <w:rsid w:val="0019577A"/>
    <w:rsid w:val="001B21A9"/>
    <w:rsid w:val="002C3B9F"/>
    <w:rsid w:val="003F47A2"/>
    <w:rsid w:val="004358B1"/>
    <w:rsid w:val="00596871"/>
    <w:rsid w:val="005B25D0"/>
    <w:rsid w:val="005C7CA1"/>
    <w:rsid w:val="007A4C25"/>
    <w:rsid w:val="00815558"/>
    <w:rsid w:val="00891B7A"/>
    <w:rsid w:val="008E03B6"/>
    <w:rsid w:val="00930F1B"/>
    <w:rsid w:val="009B7441"/>
    <w:rsid w:val="009F19F7"/>
    <w:rsid w:val="00A1436C"/>
    <w:rsid w:val="00A554DA"/>
    <w:rsid w:val="00B279C8"/>
    <w:rsid w:val="00BC0D8C"/>
    <w:rsid w:val="00C74EF0"/>
    <w:rsid w:val="00D14552"/>
    <w:rsid w:val="00DB7D29"/>
    <w:rsid w:val="00DD0AEA"/>
    <w:rsid w:val="00DD63E0"/>
    <w:rsid w:val="00E14C25"/>
    <w:rsid w:val="00E37408"/>
    <w:rsid w:val="00E44DA7"/>
    <w:rsid w:val="00E60CAA"/>
    <w:rsid w:val="051E18F0"/>
    <w:rsid w:val="0C37598B"/>
    <w:rsid w:val="0CED022C"/>
    <w:rsid w:val="108129DE"/>
    <w:rsid w:val="132D1E08"/>
    <w:rsid w:val="14E026A0"/>
    <w:rsid w:val="17AF00A2"/>
    <w:rsid w:val="1C897E73"/>
    <w:rsid w:val="1F083983"/>
    <w:rsid w:val="202421E2"/>
    <w:rsid w:val="2612495F"/>
    <w:rsid w:val="2AF5695A"/>
    <w:rsid w:val="306805A9"/>
    <w:rsid w:val="315E14CA"/>
    <w:rsid w:val="34044959"/>
    <w:rsid w:val="35E01BEA"/>
    <w:rsid w:val="36991F89"/>
    <w:rsid w:val="36CD0137"/>
    <w:rsid w:val="375B07D6"/>
    <w:rsid w:val="38C760B3"/>
    <w:rsid w:val="3E87181C"/>
    <w:rsid w:val="40090822"/>
    <w:rsid w:val="4097298C"/>
    <w:rsid w:val="40D342E1"/>
    <w:rsid w:val="49700833"/>
    <w:rsid w:val="503468A2"/>
    <w:rsid w:val="5A5B1FD8"/>
    <w:rsid w:val="5B064513"/>
    <w:rsid w:val="5F267EAF"/>
    <w:rsid w:val="5FF62DB0"/>
    <w:rsid w:val="60B51BE9"/>
    <w:rsid w:val="614B7AED"/>
    <w:rsid w:val="6234352E"/>
    <w:rsid w:val="65620183"/>
    <w:rsid w:val="707309F5"/>
    <w:rsid w:val="7217361C"/>
    <w:rsid w:val="74C47A43"/>
    <w:rsid w:val="7F1C76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ascii="Calibri" w:hAnsi="Calibri" w:eastAsia="宋体" w:cs="Times New Roman"/>
      <w:kern w:val="0"/>
      <w:sz w:val="24"/>
      <w:szCs w:val="24"/>
    </w:rPr>
  </w:style>
  <w:style w:type="table" w:styleId="6">
    <w:name w:val="Table Grid"/>
    <w:basedOn w:val="5"/>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8">
    <w:name w:val="页眉 Char"/>
    <w:basedOn w:val="7"/>
    <w:link w:val="3"/>
    <w:semiHidden/>
    <w:uiPriority w:val="99"/>
    <w:rPr>
      <w:sz w:val="18"/>
      <w:szCs w:val="18"/>
    </w:rPr>
  </w:style>
  <w:style w:type="character" w:customStyle="1" w:styleId="9">
    <w:name w:val="页脚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89</Words>
  <Characters>509</Characters>
  <Lines>4</Lines>
  <Paragraphs>1</Paragraphs>
  <TotalTime>1</TotalTime>
  <ScaleCrop>false</ScaleCrop>
  <LinksUpToDate>false</LinksUpToDate>
  <CharactersWithSpaces>597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2021-06-15T09:31:00Z</dcterms:created>
  <dc:creator>Administrator</dc:creator>
  <cp:lastModifiedBy>暗夜公爵</cp:lastModifiedBy>
  <dcterms:modified xsi:type="dcterms:W3CDTF">2022-10-20T06:44:15Z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