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jc w:val="center"/>
        <w:rPr>
          <w:rFonts w:hint="default" w:asciiTheme="majorEastAsia" w:hAnsiTheme="majorEastAsia" w:eastAsiaTheme="majorEastAsia" w:cstheme="majorEastAsia"/>
          <w:i w:val="0"/>
          <w:caps w:val="0"/>
          <w:color w:val="333333"/>
          <w:spacing w:val="0"/>
          <w:sz w:val="32"/>
          <w:szCs w:val="32"/>
          <w:shd w:val="clear" w:fill="FFFFFF"/>
          <w:lang w:val="en-US" w:eastAsia="zh-CN"/>
        </w:rPr>
      </w:pPr>
      <w:r>
        <w:rPr>
          <w:rFonts w:hint="eastAsia" w:asciiTheme="majorEastAsia" w:hAnsiTheme="majorEastAsia" w:eastAsiaTheme="majorEastAsia" w:cstheme="majorEastAsia"/>
          <w:i w:val="0"/>
          <w:caps w:val="0"/>
          <w:color w:val="333333"/>
          <w:spacing w:val="0"/>
          <w:sz w:val="32"/>
          <w:szCs w:val="32"/>
          <w:shd w:val="clear" w:fill="FFFFFF"/>
          <w:lang w:val="en-US" w:eastAsia="zh-CN"/>
        </w:rPr>
        <w:t>寿县人民政府2020年政府信息公开年度报告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jc w:val="left"/>
        <w:rPr>
          <w:rFonts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本报告依据《国务院办公厅政府信息与政务公开办公室关于政府信息公开工作年度报告有关事项的通知》（国办公开办函〔2019〕60号）要求，结合我县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2020年1月1日至12月31日。报告的电子版可在寿县人民政府网“政务公开——政府信息公开年报”栏目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default" w:ascii="Calibri" w:hAnsi="Calibri" w:cs="Calibri"/>
          <w:i w:val="0"/>
          <w:caps w:val="0"/>
          <w:color w:val="333333"/>
          <w:spacing w:val="0"/>
          <w:sz w:val="24"/>
          <w:szCs w:val="24"/>
        </w:rPr>
      </w:pPr>
      <w:r>
        <w:rPr>
          <w:rFonts w:hint="eastAsia" w:ascii="宋体" w:hAnsi="宋体" w:eastAsia="宋体" w:cs="宋体"/>
          <w:b/>
          <w:i w:val="0"/>
          <w:caps w:val="0"/>
          <w:color w:val="333333"/>
          <w:spacing w:val="0"/>
          <w:sz w:val="32"/>
          <w:szCs w:val="32"/>
          <w:shd w:val="clear" w:fill="FFFFFF"/>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jc w:val="left"/>
        <w:rPr>
          <w:rFonts w:hint="default"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2020年，我县认真贯彻《中华人民共和国政府信息公开条例》，紧紧围绕上级各项部署，切实加强组织领导,完善工作机制，采取有效措施，持续推进政府信息公开。我县共将25个乡镇和40个县直单位纳入政务公开网络体系，统一制作网页，统一公开标准。共主动公开信息共58000余条。寿县政务公开工作在2018年获全省政务公开工作先进单位称号，2019年我县荣获市政务公开工作先进单位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jc w:val="left"/>
        <w:rPr>
          <w:rFonts w:hint="default" w:ascii="仿宋" w:hAnsi="仿宋" w:eastAsia="仿宋" w:cs="仿宋"/>
          <w:i w:val="0"/>
          <w:caps w:val="0"/>
          <w:color w:val="000000"/>
          <w:spacing w:val="0"/>
          <w:sz w:val="32"/>
          <w:szCs w:val="32"/>
          <w:shd w:val="clear" w:fill="FFFFFF"/>
        </w:rPr>
      </w:pPr>
      <w:r>
        <w:rPr>
          <w:rFonts w:hint="default" w:ascii="仿宋" w:hAnsi="仿宋" w:eastAsia="仿宋" w:cs="仿宋"/>
          <w:i w:val="0"/>
          <w:caps w:val="0"/>
          <w:color w:val="00000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default" w:ascii="Calibri" w:hAnsi="Calibri" w:cs="Calibri"/>
          <w:i w:val="0"/>
          <w:caps w:val="0"/>
          <w:color w:val="333333"/>
          <w:spacing w:val="0"/>
          <w:sz w:val="21"/>
          <w:szCs w:val="21"/>
        </w:rPr>
      </w:pPr>
      <w:r>
        <w:rPr>
          <w:rFonts w:hint="eastAsia" w:ascii="宋体" w:hAnsi="宋体" w:eastAsia="宋体" w:cs="宋体"/>
          <w:b/>
          <w:i w:val="0"/>
          <w:caps w:val="0"/>
          <w:color w:val="333333"/>
          <w:spacing w:val="0"/>
          <w:sz w:val="32"/>
          <w:szCs w:val="32"/>
          <w:shd w:val="clear" w:fill="FFFFFF"/>
        </w:rPr>
        <w:t>（一）主动公开情况。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default" w:ascii="仿宋" w:hAnsi="仿宋" w:eastAsia="仿宋" w:cs="仿宋"/>
          <w:i w:val="0"/>
          <w:caps w:val="0"/>
          <w:color w:val="000000"/>
          <w:spacing w:val="0"/>
          <w:sz w:val="32"/>
          <w:szCs w:val="32"/>
          <w:shd w:val="clear" w:fill="FFFFFF"/>
        </w:rPr>
      </w:pPr>
      <w:r>
        <w:rPr>
          <w:rFonts w:hint="eastAsia" w:ascii="宋体" w:hAnsi="宋体" w:eastAsia="宋体" w:cs="宋体"/>
          <w:b/>
          <w:i w:val="0"/>
          <w:caps w:val="0"/>
          <w:color w:val="333333"/>
          <w:spacing w:val="0"/>
          <w:sz w:val="32"/>
          <w:szCs w:val="32"/>
          <w:shd w:val="clear" w:fill="FFFFFF"/>
        </w:rPr>
        <w:t>1、</w:t>
      </w:r>
      <w:r>
        <w:rPr>
          <w:rFonts w:hint="eastAsia" w:ascii="仿宋" w:hAnsi="仿宋" w:eastAsia="仿宋" w:cs="仿宋"/>
          <w:b/>
          <w:i w:val="0"/>
          <w:caps w:val="0"/>
          <w:color w:val="333333"/>
          <w:spacing w:val="0"/>
          <w:sz w:val="32"/>
          <w:szCs w:val="32"/>
          <w:shd w:val="clear" w:fill="FFFFFF"/>
        </w:rPr>
        <w:t>助力疫情防控，保障人民群众知情权。</w:t>
      </w:r>
      <w:r>
        <w:rPr>
          <w:rFonts w:hint="eastAsia" w:ascii="仿宋" w:hAnsi="仿宋" w:eastAsia="仿宋" w:cs="仿宋"/>
          <w:i w:val="0"/>
          <w:caps w:val="0"/>
          <w:color w:val="000000"/>
          <w:spacing w:val="0"/>
          <w:sz w:val="32"/>
          <w:szCs w:val="32"/>
          <w:shd w:val="clear" w:fill="FFFFFF"/>
        </w:rPr>
        <w:t>要求各乡镇、县直各有关单位在常规公开的基础上，加强有关疫情防控和复工复产等信息的及时公开，助力抓好疫情防控，为有序组织企业复工复产，扎实做好“六稳”工作，统筹推进经济社会发展各项任务把好政策关。共主动公开340余条信息。</w:t>
      </w:r>
      <w:r>
        <w:rPr>
          <w:rFonts w:hint="eastAsia" w:ascii="仿宋" w:hAnsi="仿宋" w:eastAsia="仿宋" w:cs="仿宋"/>
          <w:b/>
          <w:i w:val="0"/>
          <w:caps w:val="0"/>
          <w:color w:val="333333"/>
          <w:spacing w:val="0"/>
          <w:sz w:val="32"/>
          <w:szCs w:val="32"/>
          <w:shd w:val="clear" w:fill="FFFFFF"/>
        </w:rPr>
        <w:t>2、抓好隐私排查，维护人民群众切身利益。</w:t>
      </w:r>
      <w:r>
        <w:rPr>
          <w:rFonts w:hint="eastAsia" w:ascii="仿宋" w:hAnsi="仿宋" w:eastAsia="仿宋" w:cs="仿宋"/>
          <w:i w:val="0"/>
          <w:caps w:val="0"/>
          <w:color w:val="000000"/>
          <w:spacing w:val="0"/>
          <w:sz w:val="32"/>
          <w:szCs w:val="32"/>
          <w:shd w:val="clear" w:fill="FFFFFF"/>
        </w:rPr>
        <w:t>结合省、市文件精神，根据自身实际，明确排查范围、排查重点和工作要求。在个人隐私政府信息排查中，共排查出130条个人隐私信息，包含手机号码、银行卡号、身份证号以及详细居住地址等问题，对于排查出的问题均已整改到位。有效的防止网站中存在泄露公民个的安全性问题，极大的维护了人民群众的切身利益。</w:t>
      </w:r>
      <w:r>
        <w:rPr>
          <w:rFonts w:hint="eastAsia" w:ascii="仿宋" w:hAnsi="仿宋" w:eastAsia="仿宋" w:cs="仿宋"/>
          <w:b/>
          <w:i w:val="0"/>
          <w:caps w:val="0"/>
          <w:color w:val="333333"/>
          <w:spacing w:val="0"/>
          <w:sz w:val="32"/>
          <w:szCs w:val="32"/>
          <w:shd w:val="clear" w:fill="FFFFFF"/>
        </w:rPr>
        <w:t>3、开展“六提六促</w:t>
      </w:r>
      <w:r>
        <w:rPr>
          <w:rFonts w:hint="eastAsia" w:ascii="微软雅黑" w:hAnsi="微软雅黑" w:eastAsia="微软雅黑" w:cs="微软雅黑"/>
          <w:b/>
          <w:i w:val="0"/>
          <w:caps w:val="0"/>
          <w:color w:val="333333"/>
          <w:spacing w:val="0"/>
          <w:sz w:val="32"/>
          <w:szCs w:val="32"/>
          <w:shd w:val="clear" w:fill="FFFFFF"/>
        </w:rPr>
        <w:t>”</w:t>
      </w:r>
      <w:r>
        <w:rPr>
          <w:rFonts w:hint="eastAsia" w:ascii="仿宋" w:hAnsi="仿宋" w:eastAsia="仿宋" w:cs="仿宋"/>
          <w:b/>
          <w:i w:val="0"/>
          <w:caps w:val="0"/>
          <w:color w:val="333333"/>
          <w:spacing w:val="0"/>
          <w:sz w:val="32"/>
          <w:szCs w:val="32"/>
          <w:shd w:val="clear" w:fill="FFFFFF"/>
        </w:rPr>
        <w:t>专项行动，推动全县政务公开工作提质增效。</w:t>
      </w:r>
      <w:r>
        <w:rPr>
          <w:rFonts w:hint="eastAsia" w:ascii="仿宋" w:hAnsi="仿宋" w:eastAsia="仿宋" w:cs="仿宋"/>
          <w:i w:val="0"/>
          <w:caps w:val="0"/>
          <w:color w:val="000000"/>
          <w:spacing w:val="0"/>
          <w:sz w:val="32"/>
          <w:szCs w:val="32"/>
          <w:shd w:val="clear" w:fill="FFFFFF"/>
        </w:rPr>
        <w:t>根据上级文件要求，寿县及时开展“六提六促”专项行动，印发了《寿县政务公开办公室关于开展政务公开“六提六促”专项行动的通知》（寿政务公开办〔2020〕2号），以更加务实的举措全过程推进公开、全方位回应关切、全流程优化政务服务、全链条加强政务信息管理、全环节夯实工作基础，全面提升我县政务公开工作的质量效果。4、</w:t>
      </w:r>
      <w:r>
        <w:rPr>
          <w:rFonts w:hint="eastAsia" w:ascii="仿宋" w:hAnsi="仿宋" w:eastAsia="仿宋" w:cs="仿宋"/>
          <w:b/>
          <w:i w:val="0"/>
          <w:caps w:val="0"/>
          <w:color w:val="333333"/>
          <w:spacing w:val="0"/>
          <w:sz w:val="32"/>
          <w:szCs w:val="32"/>
          <w:shd w:val="clear" w:fill="FFFFFF"/>
        </w:rPr>
        <w:t>全面推进“两化”工作，规范政府信息公开。</w:t>
      </w:r>
      <w:r>
        <w:rPr>
          <w:rFonts w:hint="eastAsia" w:ascii="仿宋" w:hAnsi="仿宋" w:eastAsia="仿宋" w:cs="仿宋"/>
          <w:i w:val="0"/>
          <w:caps w:val="0"/>
          <w:color w:val="000000"/>
          <w:spacing w:val="0"/>
          <w:sz w:val="32"/>
          <w:szCs w:val="32"/>
          <w:shd w:val="clear" w:fill="FFFFFF"/>
        </w:rPr>
        <w:t>印发了《寿县人民政府办公室关于印发寿县全面推进基层政务公开标准化规范化工作实施方案的通知》（寿政办秘〔2020〕59号)文件，并成立寿县全面推进基层政务公开标准化规范化工作领导小组，由常务副县长担任组长。各乡镇及县直有关单位对照省厅部门制定的26个试点领域公开标准指引，梳理公开事项，严格界定公开范围，编制完善本单位政务公开事项标准目录，全面公开各类主动公开事项，通过线上线下全面准确公开政务服务信息。</w:t>
      </w:r>
      <w:r>
        <w:rPr>
          <w:rFonts w:hint="eastAsia" w:ascii="宋体" w:hAnsi="宋体" w:eastAsia="宋体" w:cs="宋体"/>
          <w:b/>
          <w:i w:val="0"/>
          <w:caps w:val="0"/>
          <w:color w:val="333333"/>
          <w:spacing w:val="0"/>
          <w:sz w:val="32"/>
          <w:szCs w:val="32"/>
          <w:shd w:val="clear" w:fill="FFFFFF"/>
        </w:rPr>
        <w:t>5、进一步助力营商环境打造。</w:t>
      </w:r>
      <w:r>
        <w:rPr>
          <w:rFonts w:hint="eastAsia" w:ascii="仿宋" w:hAnsi="仿宋" w:eastAsia="仿宋" w:cs="仿宋"/>
          <w:i w:val="0"/>
          <w:caps w:val="0"/>
          <w:color w:val="000000"/>
          <w:spacing w:val="0"/>
          <w:sz w:val="32"/>
          <w:szCs w:val="32"/>
          <w:shd w:val="clear" w:fill="FFFFFF"/>
        </w:rPr>
        <w:t>全面助力深化“放管服”改革、优化营商环境一系列决策部署，在企业开办、工程建设项目报建、不动产登记等19个营商环境重点领域，持续深化改革，推动我县营商环境在全省争先进位。不断听取各类企业的意见建议，在相关政策、工作方案的解读、宣传，主动回应各类企业的关心关切，及时公开相关工作落实情况等。提升“全程网办”能力。围绕企业、群众办事高频事项，梳理业务情形，平台上线了63个“办好一件事”主题服务，其中精品服务20个，为群众办理业务提供全方位引导服务。通过数据共享，推进四电(电子证照、电子印章、电子云签、电子档案)应用，我县全程网办事项数达2.52万项，占比达100%。</w:t>
      </w:r>
      <w:r>
        <w:rPr>
          <w:rFonts w:hint="eastAsia" w:ascii="宋体" w:hAnsi="宋体" w:eastAsia="宋体" w:cs="宋体"/>
          <w:b/>
          <w:i w:val="0"/>
          <w:caps w:val="0"/>
          <w:color w:val="333333"/>
          <w:spacing w:val="0"/>
          <w:sz w:val="32"/>
          <w:szCs w:val="32"/>
          <w:shd w:val="clear" w:fill="FFFFFF"/>
        </w:rPr>
        <w:t>6、全面清理规范性文件。</w:t>
      </w:r>
      <w:r>
        <w:rPr>
          <w:rFonts w:hint="eastAsia" w:ascii="仿宋" w:hAnsi="仿宋" w:eastAsia="仿宋" w:cs="仿宋"/>
          <w:i w:val="0"/>
          <w:caps w:val="0"/>
          <w:color w:val="000000"/>
          <w:spacing w:val="0"/>
          <w:sz w:val="32"/>
          <w:szCs w:val="32"/>
          <w:shd w:val="clear" w:fill="FFFFFF"/>
        </w:rPr>
        <w:t>为加强行政规范性文件监督管理工作，确保政令通畅，适应改革发展要求，对2019年12月31日前现行有效的行政规范性文件进行了全面清理。其中继续有效的行政规范性文件133件，废止16件，宣布失效19件，修改5件。并要求，对未列入继续有效的行政规范性文件目录的文件，不得作为行政管理的依据。对需要修改的行政规范性文件，相关责任单位要在清理结果公布后及时提出修改意见，并按照行政规范性文件制定程序规定，报请批准后重新印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3"/>
        <w:jc w:val="both"/>
        <w:rPr>
          <w:rFonts w:hint="eastAsia" w:ascii="仿宋" w:hAnsi="仿宋" w:eastAsia="仿宋" w:cs="仿宋"/>
          <w:i w:val="0"/>
          <w:caps w:val="0"/>
          <w:color w:val="000000"/>
          <w:spacing w:val="0"/>
          <w:sz w:val="32"/>
          <w:szCs w:val="32"/>
          <w:shd w:val="clear" w:fill="FFFFFF"/>
          <w:lang w:val="en-US" w:eastAsia="zh-CN"/>
        </w:rPr>
      </w:pPr>
      <w:r>
        <w:rPr>
          <w:rFonts w:hint="eastAsia" w:ascii="宋体" w:hAnsi="宋体" w:eastAsia="宋体" w:cs="宋体"/>
          <w:b/>
          <w:i w:val="0"/>
          <w:caps w:val="0"/>
          <w:color w:val="333333"/>
          <w:spacing w:val="0"/>
          <w:sz w:val="32"/>
          <w:szCs w:val="32"/>
          <w:shd w:val="clear" w:fill="FFFFFF"/>
        </w:rPr>
        <w:t>（二）依申请公开情况。</w:t>
      </w:r>
      <w:r>
        <w:rPr>
          <w:rFonts w:hint="eastAsia" w:ascii="仿宋" w:hAnsi="仿宋" w:eastAsia="仿宋" w:cs="仿宋"/>
          <w:i w:val="0"/>
          <w:caps w:val="0"/>
          <w:color w:val="000000"/>
          <w:spacing w:val="0"/>
          <w:sz w:val="32"/>
          <w:szCs w:val="32"/>
          <w:shd w:val="clear" w:fill="FFFFFF"/>
        </w:rPr>
        <w:t>2020年，我县坚持依法规范办理，紧抓依申请办理质量，严格按照法律法规的办理时间要求，确保答复及时。共办理依申请公开28件，现已全部办结。办理中对依申请提供的政府信息未收任何费用，未产生政府信息公开行政复议、行政诉讼情况。</w:t>
      </w:r>
      <w:r>
        <w:rPr>
          <w:rFonts w:hint="eastAsia" w:ascii="仿宋" w:hAnsi="仿宋" w:eastAsia="仿宋" w:cs="仿宋"/>
          <w:i w:val="0"/>
          <w:caps w:val="0"/>
          <w:color w:val="000000"/>
          <w:spacing w:val="0"/>
          <w:sz w:val="32"/>
          <w:szCs w:val="32"/>
          <w:shd w:val="clear" w:fill="FFFFFF"/>
          <w:lang w:val="en-US" w:eastAsia="zh-CN"/>
        </w:rPr>
        <w:t>完善办理协商机制。围绕疑难申请事项，由县政务公开办牵头，邀请律师及相关责任单位现场协商，审慎稳妥答复申请人，整体提升依申请公开工作办理质量。规范答复格式。根据省级制定的答复模板，从程序、实体、格式3个方面规范政府信息公开申请答复工作，共计答复种类4种，答复格式文书模板29个，依据省级模板，结合我县实际，将答复模板提供给各乡镇和县直部门，为办理信息公开申请提供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3"/>
        <w:jc w:val="left"/>
        <w:rPr>
          <w:rFonts w:hint="default" w:ascii="Calibri" w:hAnsi="Calibri" w:cs="Calibri"/>
          <w:i w:val="0"/>
          <w:caps w:val="0"/>
          <w:color w:val="333333"/>
          <w:spacing w:val="0"/>
          <w:sz w:val="24"/>
          <w:szCs w:val="24"/>
        </w:rPr>
      </w:pPr>
      <w:r>
        <w:rPr>
          <w:rFonts w:hint="eastAsia" w:ascii="宋体" w:hAnsi="宋体" w:eastAsia="宋体" w:cs="宋体"/>
          <w:b/>
          <w:i w:val="0"/>
          <w:caps w:val="0"/>
          <w:color w:val="333333"/>
          <w:spacing w:val="0"/>
          <w:sz w:val="32"/>
          <w:szCs w:val="32"/>
          <w:shd w:val="clear" w:fill="FFFFFF"/>
        </w:rPr>
        <w:t>（三）政府信息管理。</w:t>
      </w:r>
      <w:r>
        <w:rPr>
          <w:rFonts w:hint="eastAsia" w:ascii="仿宋" w:hAnsi="仿宋" w:eastAsia="仿宋" w:cs="仿宋"/>
          <w:i w:val="0"/>
          <w:caps w:val="0"/>
          <w:color w:val="000000"/>
          <w:spacing w:val="0"/>
          <w:sz w:val="32"/>
          <w:szCs w:val="32"/>
          <w:shd w:val="clear" w:fill="FFFFFF"/>
        </w:rPr>
        <w:t>建立政务公开常态化监测检查机制。采取系统监测和人工复核相结合的方式，紧盯栏目更新不及时、更新内容不规范和错敏词汇等问题。持续加强政务公开内容建设，坚持分级分类审核、先审后发，杜绝涉密信息、违规信息上网，避免出现严重表述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仿宋" w:hAnsi="仿宋" w:eastAsia="仿宋" w:cs="仿宋"/>
          <w:i w:val="0"/>
          <w:caps w:val="0"/>
          <w:color w:val="000000"/>
          <w:spacing w:val="0"/>
          <w:sz w:val="32"/>
          <w:szCs w:val="32"/>
          <w:shd w:val="clear" w:fill="FFFFFF"/>
        </w:rPr>
      </w:pPr>
      <w:r>
        <w:rPr>
          <w:rFonts w:hint="eastAsia" w:ascii="宋体" w:hAnsi="宋体" w:eastAsia="宋体" w:cs="宋体"/>
          <w:b/>
          <w:i w:val="0"/>
          <w:caps w:val="0"/>
          <w:color w:val="333333"/>
          <w:spacing w:val="0"/>
          <w:sz w:val="32"/>
          <w:szCs w:val="32"/>
          <w:shd w:val="clear" w:fill="FFFFFF"/>
        </w:rPr>
        <w:t>（四）公开平台建设。</w:t>
      </w:r>
      <w:r>
        <w:rPr>
          <w:rFonts w:hint="eastAsia" w:ascii="仿宋" w:hAnsi="仿宋" w:eastAsia="仿宋" w:cs="仿宋"/>
          <w:i w:val="0"/>
          <w:caps w:val="0"/>
          <w:color w:val="000000"/>
          <w:spacing w:val="0"/>
          <w:sz w:val="32"/>
          <w:szCs w:val="32"/>
          <w:shd w:val="clear" w:fill="FFFFFF"/>
        </w:rPr>
        <w:t>进一步优化网站功能、栏目设置，政策解读、回应关切、公众参与、新闻发布、在线访谈等栏目；进一步加强专题专栏建设，新增了机构职能目录、六稳六保、市场监管规则和标准、疫情防控、基层政务公开标准化等5个专题专栏。进一步推进政府网站集约化建设，不断提升政府网上履职能力和服务水平。进一步完善政府网站内容建设和信息发布审核，把好了政治关、政策关、文字关。进一步梳理政务公开基本目录，12月份，按照新的规范将政务公开目录进行了修改及数据转移，进一步推进了政务公开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2"/>
        <w:jc w:val="both"/>
        <w:rPr>
          <w:rFonts w:hint="default" w:ascii="仿宋" w:hAnsi="仿宋" w:eastAsia="仿宋" w:cs="仿宋"/>
          <w:i w:val="0"/>
          <w:caps w:val="0"/>
          <w:color w:val="000000"/>
          <w:spacing w:val="0"/>
          <w:sz w:val="32"/>
          <w:szCs w:val="32"/>
          <w:shd w:val="clear" w:fill="FFFFFF"/>
        </w:rPr>
      </w:pPr>
      <w:r>
        <w:rPr>
          <w:rFonts w:hint="eastAsia" w:ascii="宋体" w:hAnsi="宋体" w:eastAsia="宋体" w:cs="宋体"/>
          <w:b/>
          <w:i w:val="0"/>
          <w:caps w:val="0"/>
          <w:color w:val="333333"/>
          <w:spacing w:val="0"/>
          <w:sz w:val="32"/>
          <w:szCs w:val="32"/>
          <w:shd w:val="clear" w:fill="FFFFFF"/>
        </w:rPr>
        <w:t>（五）监督保障。</w:t>
      </w:r>
      <w:r>
        <w:rPr>
          <w:rFonts w:hint="eastAsia" w:ascii="宋体" w:hAnsi="宋体" w:eastAsia="宋体" w:cs="宋体"/>
          <w:b/>
          <w:i w:val="0"/>
          <w:caps w:val="0"/>
          <w:color w:val="000000"/>
          <w:spacing w:val="0"/>
          <w:sz w:val="32"/>
          <w:szCs w:val="32"/>
          <w:shd w:val="clear" w:fill="FFFFFF"/>
        </w:rPr>
        <w:t>1、调整领导组，切实加强组织领导。</w:t>
      </w:r>
      <w:r>
        <w:rPr>
          <w:rFonts w:hint="eastAsia" w:ascii="仿宋" w:hAnsi="仿宋" w:eastAsia="仿宋" w:cs="仿宋"/>
          <w:i w:val="0"/>
          <w:caps w:val="0"/>
          <w:color w:val="000000"/>
          <w:spacing w:val="0"/>
          <w:sz w:val="32"/>
          <w:szCs w:val="32"/>
          <w:shd w:val="clear" w:fill="FFFFFF"/>
        </w:rPr>
        <w:t>县政府及时充实和调整政务公开工作领导小组，成立由常务副县长担任组长，县直重点部门主要负责人为成员的政务公开领导小组，领导小组办公室设在县数据资源管理局。加强对此项工作的组织领导。</w:t>
      </w:r>
      <w:r>
        <w:rPr>
          <w:rFonts w:hint="eastAsia" w:ascii="宋体" w:hAnsi="宋体" w:eastAsia="宋体" w:cs="宋体"/>
          <w:b/>
          <w:i w:val="0"/>
          <w:caps w:val="0"/>
          <w:color w:val="000000"/>
          <w:spacing w:val="0"/>
          <w:sz w:val="32"/>
          <w:szCs w:val="32"/>
          <w:shd w:val="clear" w:fill="FFFFFF"/>
        </w:rPr>
        <w:t>2、</w:t>
      </w:r>
      <w:r>
        <w:rPr>
          <w:rFonts w:hint="eastAsia" w:ascii="仿宋" w:hAnsi="仿宋" w:eastAsia="仿宋" w:cs="仿宋"/>
          <w:b/>
          <w:i w:val="0"/>
          <w:caps w:val="0"/>
          <w:color w:val="333333"/>
          <w:spacing w:val="0"/>
          <w:sz w:val="32"/>
          <w:szCs w:val="32"/>
          <w:shd w:val="clear" w:fill="FFFFFF"/>
        </w:rPr>
        <w:t>加强培训指导，提高政务公开队伍业务能力。</w:t>
      </w:r>
      <w:r>
        <w:rPr>
          <w:rFonts w:hint="eastAsia" w:ascii="仿宋" w:hAnsi="仿宋" w:eastAsia="仿宋" w:cs="仿宋"/>
          <w:i w:val="0"/>
          <w:caps w:val="0"/>
          <w:color w:val="000000"/>
          <w:spacing w:val="0"/>
          <w:sz w:val="32"/>
          <w:szCs w:val="32"/>
          <w:shd w:val="clear" w:fill="FFFFFF"/>
        </w:rPr>
        <w:t>县政务公开办先后召开了5次培训会,2次推进会，1次现场办公会。对省、市的测评结果及有关政务公开新要求、新精神、新指示进行传达学习，对重点内容进行细致解读，对易犯得错误进行提醒，培训共计500余人次。为更好做好指导，政务公开办工作人员全天候在线指导业务，适时督促检查，发现问题及时提醒，及时解决。</w:t>
      </w:r>
      <w:bookmarkStart w:id="0" w:name="_GoBack"/>
      <w:bookmarkEnd w:id="0"/>
      <w:r>
        <w:rPr>
          <w:rFonts w:hint="eastAsia" w:ascii="宋体" w:hAnsi="宋体" w:eastAsia="宋体" w:cs="宋体"/>
          <w:b/>
          <w:i w:val="0"/>
          <w:caps w:val="0"/>
          <w:color w:val="000000"/>
          <w:spacing w:val="0"/>
          <w:sz w:val="32"/>
          <w:szCs w:val="32"/>
          <w:shd w:val="clear" w:fill="FFFFFF"/>
        </w:rPr>
        <w:t>3、</w:t>
      </w:r>
      <w:r>
        <w:rPr>
          <w:rFonts w:hint="eastAsia" w:ascii="仿宋" w:hAnsi="仿宋" w:eastAsia="仿宋" w:cs="仿宋"/>
          <w:b/>
          <w:i w:val="0"/>
          <w:caps w:val="0"/>
          <w:color w:val="333333"/>
          <w:spacing w:val="0"/>
          <w:sz w:val="32"/>
          <w:szCs w:val="32"/>
          <w:shd w:val="clear" w:fill="FFFFFF"/>
        </w:rPr>
        <w:t>开展第三方测评，找准公开不足之处。</w:t>
      </w:r>
      <w:r>
        <w:rPr>
          <w:rFonts w:hint="eastAsia" w:ascii="仿宋" w:hAnsi="仿宋" w:eastAsia="仿宋" w:cs="仿宋"/>
          <w:i w:val="0"/>
          <w:caps w:val="0"/>
          <w:color w:val="000000"/>
          <w:spacing w:val="0"/>
          <w:sz w:val="32"/>
          <w:szCs w:val="32"/>
          <w:shd w:val="clear" w:fill="FFFFFF"/>
        </w:rPr>
        <w:t>本年度共开展3次第三方评估机构测评，对包括县本级、县直部门和各乡镇的政务公开工作情况进行检测评估，对于测评发现的问题，逐一反馈各单位得分点、失分点，点明需要完善的事项，提出具体的整改意见和建议。并对测评反馈问题整改情况进行“回头看”，确保整改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b/>
          <w:i w:val="0"/>
          <w:caps w:val="0"/>
          <w:color w:val="333333"/>
          <w:spacing w:val="0"/>
          <w:sz w:val="32"/>
          <w:szCs w:val="32"/>
          <w:shd w:val="clear" w:fill="FFFFFF"/>
        </w:rPr>
        <w:t>二、主动公开政府信息情况</w:t>
      </w:r>
    </w:p>
    <w:tbl>
      <w:tblPr>
        <w:tblStyle w:val="5"/>
        <w:tblW w:w="0" w:type="auto"/>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020"/>
        <w:gridCol w:w="1420"/>
        <w:gridCol w:w="1420"/>
        <w:gridCol w:w="14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gridSpan w:val="4"/>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信息内容</w:t>
            </w:r>
          </w:p>
        </w:tc>
        <w:tc>
          <w:tcPr>
            <w:tcW w:w="0" w:type="auto"/>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本年新制作数量</w:t>
            </w:r>
          </w:p>
        </w:tc>
        <w:tc>
          <w:tcPr>
            <w:tcW w:w="0" w:type="auto"/>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本年新公开数量</w:t>
            </w:r>
          </w:p>
        </w:tc>
        <w:tc>
          <w:tcPr>
            <w:tcW w:w="0" w:type="auto"/>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对外公开总数量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规章</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0</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0</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规范性文件</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13</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13</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116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4"/>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信息内容</w:t>
            </w:r>
          </w:p>
        </w:tc>
        <w:tc>
          <w:tcPr>
            <w:tcW w:w="0" w:type="auto"/>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上一年项目数量</w:t>
            </w:r>
          </w:p>
        </w:tc>
        <w:tc>
          <w:tcPr>
            <w:tcW w:w="0" w:type="auto"/>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本年增/减</w:t>
            </w:r>
          </w:p>
        </w:tc>
        <w:tc>
          <w:tcPr>
            <w:tcW w:w="0" w:type="auto"/>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行政许可</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140</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eastAsia" w:ascii="楷体" w:hAnsi="楷体" w:eastAsia="楷体" w:cs="宋体"/>
                <w:kern w:val="0"/>
                <w:sz w:val="20"/>
                <w:szCs w:val="20"/>
                <w:lang w:eastAsia="zh-CN"/>
              </w:rPr>
            </w:pPr>
            <w:r>
              <w:rPr>
                <w:rFonts w:hint="eastAsia" w:ascii="楷体" w:hAnsi="楷体" w:eastAsia="楷体" w:cs="宋体"/>
                <w:kern w:val="0"/>
                <w:sz w:val="20"/>
                <w:szCs w:val="20"/>
                <w:lang w:val="en-US" w:eastAsia="zh-CN"/>
              </w:rPr>
              <w:t>0</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lang w:val="en-US" w:eastAsia="zh-CN"/>
              </w:rPr>
              <w:t>1</w:t>
            </w:r>
            <w:r>
              <w:rPr>
                <w:rFonts w:hint="eastAsia" w:ascii="楷体" w:hAnsi="楷体" w:eastAsia="楷体" w:cs="宋体"/>
                <w:kern w:val="0"/>
                <w:sz w:val="20"/>
                <w:szCs w:val="20"/>
              </w:rPr>
              <w:t>2513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其他对外管理服务事项</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457</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eastAsia"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0</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lang w:val="en-US" w:eastAsia="zh-CN"/>
              </w:rPr>
              <w:t>13</w:t>
            </w:r>
            <w:r>
              <w:rPr>
                <w:rFonts w:hint="eastAsia" w:ascii="楷体" w:hAnsi="楷体" w:eastAsia="楷体" w:cs="宋体"/>
                <w:kern w:val="0"/>
                <w:sz w:val="20"/>
                <w:szCs w:val="20"/>
              </w:rPr>
              <w:t>820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gridSpan w:val="4"/>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信息内容</w:t>
            </w:r>
          </w:p>
        </w:tc>
        <w:tc>
          <w:tcPr>
            <w:tcW w:w="0" w:type="auto"/>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上一年项目数量</w:t>
            </w:r>
          </w:p>
        </w:tc>
        <w:tc>
          <w:tcPr>
            <w:tcW w:w="0" w:type="auto"/>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本年增/减</w:t>
            </w:r>
          </w:p>
        </w:tc>
        <w:tc>
          <w:tcPr>
            <w:tcW w:w="0" w:type="auto"/>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0" w:type="auto"/>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行政处罚</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1637</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+325</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lang w:val="en-US" w:eastAsia="zh-CN"/>
              </w:rPr>
              <w:t>6</w:t>
            </w:r>
            <w:r>
              <w:rPr>
                <w:rFonts w:hint="eastAsia" w:ascii="楷体" w:hAnsi="楷体" w:eastAsia="楷体" w:cs="宋体"/>
                <w:kern w:val="0"/>
                <w:sz w:val="20"/>
                <w:szCs w:val="20"/>
              </w:rPr>
              <w:t>690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55" w:hRule="atLeast"/>
        </w:trPr>
        <w:tc>
          <w:tcPr>
            <w:tcW w:w="0" w:type="auto"/>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行政强制</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eastAsia" w:ascii="楷体" w:hAnsi="楷体" w:eastAsia="楷体" w:cs="宋体"/>
                <w:kern w:val="0"/>
                <w:sz w:val="20"/>
                <w:szCs w:val="20"/>
                <w:lang w:eastAsia="zh-CN"/>
              </w:rPr>
            </w:pPr>
            <w:r>
              <w:rPr>
                <w:rFonts w:hint="eastAsia" w:ascii="楷体" w:hAnsi="楷体" w:eastAsia="楷体" w:cs="宋体"/>
                <w:kern w:val="0"/>
                <w:sz w:val="20"/>
                <w:szCs w:val="20"/>
              </w:rPr>
              <w:t>7</w:t>
            </w:r>
            <w:r>
              <w:rPr>
                <w:rFonts w:hint="eastAsia" w:ascii="楷体" w:hAnsi="楷体" w:eastAsia="楷体" w:cs="宋体"/>
                <w:kern w:val="0"/>
                <w:sz w:val="20"/>
                <w:szCs w:val="20"/>
                <w:lang w:val="en-US" w:eastAsia="zh-CN"/>
              </w:rPr>
              <w:t>3</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+23</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lang w:val="en-US" w:eastAsia="zh-CN"/>
              </w:rPr>
              <w:t>32</w:t>
            </w:r>
            <w:r>
              <w:rPr>
                <w:rFonts w:hint="eastAsia" w:ascii="楷体" w:hAnsi="楷体" w:eastAsia="楷体" w:cs="宋体"/>
                <w:kern w:val="0"/>
                <w:sz w:val="20"/>
                <w:szCs w:val="20"/>
              </w:rPr>
              <w:t>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gridSpan w:val="4"/>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信息内容</w:t>
            </w:r>
          </w:p>
        </w:tc>
        <w:tc>
          <w:tcPr>
            <w:tcW w:w="0" w:type="auto"/>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上一年项目数量</w:t>
            </w:r>
          </w:p>
        </w:tc>
        <w:tc>
          <w:tcPr>
            <w:tcW w:w="0" w:type="auto"/>
            <w:gridSpan w:val="2"/>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本年增/减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行政事业性收费</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55</w:t>
            </w:r>
          </w:p>
        </w:tc>
        <w:tc>
          <w:tcPr>
            <w:tcW w:w="0" w:type="auto"/>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gridSpan w:val="4"/>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第二十条第（九）项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信息内容</w:t>
            </w:r>
          </w:p>
        </w:tc>
        <w:tc>
          <w:tcPr>
            <w:tcW w:w="0" w:type="auto"/>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采购项目数量</w:t>
            </w:r>
          </w:p>
        </w:tc>
        <w:tc>
          <w:tcPr>
            <w:tcW w:w="0" w:type="auto"/>
            <w:gridSpan w:val="2"/>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采购总金额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政府集中采购</w:t>
            </w:r>
          </w:p>
        </w:tc>
        <w:tc>
          <w:tcPr>
            <w:tcW w:w="0" w:type="auto"/>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236</w:t>
            </w:r>
          </w:p>
        </w:tc>
        <w:tc>
          <w:tcPr>
            <w:tcW w:w="0" w:type="auto"/>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rPr>
            </w:pPr>
            <w:r>
              <w:rPr>
                <w:rFonts w:hint="eastAsia" w:ascii="楷体" w:hAnsi="楷体" w:eastAsia="楷体" w:cs="宋体"/>
                <w:kern w:val="0"/>
                <w:sz w:val="20"/>
                <w:szCs w:val="20"/>
              </w:rPr>
              <w:t>3.99亿元</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caps w:val="0"/>
          <w:color w:val="333333"/>
          <w:spacing w:val="0"/>
          <w:sz w:val="24"/>
          <w:szCs w:val="24"/>
        </w:rPr>
      </w:pPr>
      <w:r>
        <w:rPr>
          <w:rFonts w:hint="default" w:ascii="Calibri" w:hAnsi="Calibri" w:cs="Calibri"/>
          <w:i w:val="0"/>
          <w:caps w:val="0"/>
          <w:color w:val="333333"/>
          <w:spacing w:val="0"/>
          <w:sz w:val="24"/>
          <w:szCs w:val="24"/>
          <w:shd w:val="clear" w:fill="FFFFFF"/>
        </w:rPr>
        <w:t>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b/>
          <w:i w:val="0"/>
          <w:caps w:val="0"/>
          <w:color w:val="333333"/>
          <w:spacing w:val="0"/>
          <w:sz w:val="32"/>
          <w:szCs w:val="32"/>
          <w:shd w:val="clear" w:fill="FFFFFF"/>
        </w:rPr>
      </w:pPr>
      <w:r>
        <w:rPr>
          <w:rFonts w:hint="eastAsia" w:ascii="宋体" w:hAnsi="宋体" w:eastAsia="宋体" w:cs="宋体"/>
          <w:b/>
          <w:i w:val="0"/>
          <w:caps w:val="0"/>
          <w:color w:val="333333"/>
          <w:spacing w:val="0"/>
          <w:sz w:val="32"/>
          <w:szCs w:val="32"/>
          <w:shd w:val="clear" w:fill="FFFFFF"/>
        </w:rPr>
        <w:t>收到和处理政府信息公开申请情况</w:t>
      </w:r>
    </w:p>
    <w:tbl>
      <w:tblPr>
        <w:tblStyle w:val="5"/>
        <w:tblW w:w="9356" w:type="dxa"/>
        <w:tblInd w:w="132" w:type="dxa"/>
        <w:tblLayout w:type="autofit"/>
        <w:tblCellMar>
          <w:top w:w="0" w:type="dxa"/>
          <w:left w:w="0" w:type="dxa"/>
          <w:bottom w:w="0" w:type="dxa"/>
          <w:right w:w="0" w:type="dxa"/>
        </w:tblCellMar>
      </w:tblPr>
      <w:tblGrid>
        <w:gridCol w:w="1053"/>
        <w:gridCol w:w="855"/>
        <w:gridCol w:w="1919"/>
        <w:gridCol w:w="851"/>
        <w:gridCol w:w="709"/>
        <w:gridCol w:w="850"/>
        <w:gridCol w:w="851"/>
        <w:gridCol w:w="850"/>
        <w:gridCol w:w="709"/>
        <w:gridCol w:w="709"/>
      </w:tblGrid>
      <w:tr>
        <w:tblPrEx>
          <w:tblCellMar>
            <w:top w:w="0" w:type="dxa"/>
            <w:left w:w="0" w:type="dxa"/>
            <w:bottom w:w="0" w:type="dxa"/>
            <w:right w:w="0" w:type="dxa"/>
          </w:tblCellMar>
        </w:tblPrEx>
        <w:tc>
          <w:tcPr>
            <w:tcW w:w="382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（本列数据的勾稽关系为：第一项加第二项之和，等于第三项加第四项之和）</w:t>
            </w:r>
          </w:p>
        </w:tc>
        <w:tc>
          <w:tcPr>
            <w:tcW w:w="552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申请人情况</w:t>
            </w:r>
          </w:p>
        </w:tc>
      </w:tr>
      <w:tr>
        <w:tblPrEx>
          <w:tblCellMar>
            <w:top w:w="0" w:type="dxa"/>
            <w:left w:w="0" w:type="dxa"/>
            <w:bottom w:w="0" w:type="dxa"/>
            <w:right w:w="0"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hint="eastAsia" w:ascii="楷体" w:hAnsi="楷体" w:eastAsia="楷体" w:cs="宋体"/>
                <w:kern w:val="0"/>
                <w:sz w:val="20"/>
                <w:szCs w:val="20"/>
              </w:rPr>
            </w:pPr>
          </w:p>
        </w:tc>
        <w:tc>
          <w:tcPr>
            <w:tcW w:w="8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法人或其他组织</w:t>
            </w:r>
          </w:p>
        </w:tc>
        <w:tc>
          <w:tcPr>
            <w:tcW w:w="70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总计</w:t>
            </w:r>
          </w:p>
        </w:tc>
      </w:tr>
      <w:tr>
        <w:tblPrEx>
          <w:tblCellMar>
            <w:top w:w="0" w:type="dxa"/>
            <w:left w:w="0" w:type="dxa"/>
            <w:bottom w:w="0" w:type="dxa"/>
            <w:right w:w="0"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hint="eastAsia" w:ascii="楷体" w:hAnsi="楷体" w:eastAsia="楷体" w:cs="宋体"/>
                <w:kern w:val="0"/>
                <w:sz w:val="20"/>
                <w:szCs w:val="20"/>
              </w:rPr>
            </w:pPr>
          </w:p>
        </w:tc>
        <w:tc>
          <w:tcPr>
            <w:tcW w:w="851" w:type="dxa"/>
            <w:vMerge w:val="continue"/>
            <w:tcBorders>
              <w:top w:val="nil"/>
              <w:left w:val="nil"/>
              <w:bottom w:val="single" w:color="auto" w:sz="8" w:space="0"/>
              <w:right w:val="single" w:color="auto" w:sz="8" w:space="0"/>
            </w:tcBorders>
            <w:vAlign w:val="center"/>
          </w:tcPr>
          <w:p>
            <w:pPr>
              <w:widowControl/>
              <w:spacing w:line="600" w:lineRule="exact"/>
              <w:jc w:val="center"/>
              <w:rPr>
                <w:rFonts w:hint="eastAsia" w:ascii="楷体" w:hAnsi="楷体" w:eastAsia="楷体" w:cs="宋体"/>
                <w:kern w:val="0"/>
                <w:sz w:val="20"/>
                <w:szCs w:val="20"/>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商业企业</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科研机构</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社会公益组织</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法律服务机构</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其他</w:t>
            </w:r>
          </w:p>
        </w:tc>
        <w:tc>
          <w:tcPr>
            <w:tcW w:w="709" w:type="dxa"/>
            <w:vMerge w:val="continue"/>
            <w:tcBorders>
              <w:top w:val="single" w:color="auto" w:sz="8" w:space="0"/>
              <w:left w:val="nil"/>
              <w:bottom w:val="single" w:color="auto" w:sz="8" w:space="0"/>
              <w:right w:val="single" w:color="auto" w:sz="8" w:space="0"/>
            </w:tcBorders>
            <w:vAlign w:val="center"/>
          </w:tcPr>
          <w:p>
            <w:pPr>
              <w:widowControl/>
              <w:spacing w:line="600" w:lineRule="exact"/>
              <w:jc w:val="center"/>
              <w:rPr>
                <w:rFonts w:hint="eastAsia" w:ascii="楷体" w:hAnsi="楷体" w:eastAsia="楷体" w:cs="宋体"/>
                <w:kern w:val="0"/>
                <w:sz w:val="20"/>
                <w:szCs w:val="20"/>
              </w:rPr>
            </w:pP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一、本年新收政府信息公开申请数量</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default" w:ascii="楷体" w:hAnsi="楷体" w:eastAsia="楷体" w:cs="宋体"/>
                <w:kern w:val="0"/>
                <w:sz w:val="20"/>
                <w:szCs w:val="20"/>
                <w:lang w:val="en-US" w:eastAsia="zh-CN"/>
              </w:rPr>
            </w:pPr>
            <w:r>
              <w:rPr>
                <w:rFonts w:hint="eastAsia" w:ascii="楷体" w:hAnsi="楷体" w:eastAsia="楷体" w:cs="宋体"/>
                <w:kern w:val="0"/>
                <w:sz w:val="20"/>
                <w:szCs w:val="20"/>
              </w:rPr>
              <w:t> </w:t>
            </w:r>
            <w:r>
              <w:rPr>
                <w:rFonts w:hint="eastAsia" w:ascii="楷体" w:hAnsi="楷体" w:eastAsia="楷体" w:cs="宋体"/>
                <w:kern w:val="0"/>
                <w:sz w:val="20"/>
                <w:szCs w:val="20"/>
                <w:lang w:val="en-US" w:eastAsia="zh-CN"/>
              </w:rPr>
              <w:t>24</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lang w:eastAsia="zh-CN"/>
              </w:rPr>
            </w:pPr>
            <w:r>
              <w:rPr>
                <w:rFonts w:hint="eastAsia" w:ascii="楷体" w:hAnsi="楷体" w:eastAsia="楷体" w:cs="宋体"/>
                <w:kern w:val="0"/>
                <w:sz w:val="20"/>
                <w:szCs w:val="20"/>
                <w:lang w:val="en-US" w:eastAsia="zh-CN"/>
              </w:rPr>
              <w:t>4</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28</w:t>
            </w: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二、上年结转政府信息公开申请数量</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 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楷体" w:hAnsi="楷体" w:eastAsia="楷体" w:cs="宋体"/>
                <w:kern w:val="0"/>
                <w:sz w:val="20"/>
                <w:szCs w:val="20"/>
              </w:rPr>
            </w:pPr>
            <w:r>
              <w:rPr>
                <w:rFonts w:hint="eastAsia" w:ascii="楷体" w:hAnsi="楷体" w:eastAsia="楷体" w:cs="宋体"/>
                <w:kern w:val="0"/>
                <w:sz w:val="20"/>
                <w:szCs w:val="20"/>
              </w:rPr>
              <w:t>0</w:t>
            </w:r>
          </w:p>
        </w:tc>
      </w:tr>
      <w:tr>
        <w:tblPrEx>
          <w:tblCellMar>
            <w:top w:w="0" w:type="dxa"/>
            <w:left w:w="0" w:type="dxa"/>
            <w:bottom w:w="0" w:type="dxa"/>
            <w:right w:w="0" w:type="dxa"/>
          </w:tblCellMar>
        </w:tblPrEx>
        <w:tc>
          <w:tcPr>
            <w:tcW w:w="1053" w:type="dxa"/>
            <w:vMerge w:val="restart"/>
            <w:tcBorders>
              <w:top w:val="nil"/>
              <w:left w:val="single" w:color="auto" w:sz="8" w:space="0"/>
              <w:bottom w:val="single" w:color="auto" w:sz="8" w:space="0"/>
              <w:right w:val="single" w:color="auto" w:sz="8" w:space="0"/>
            </w:tcBorders>
            <w:vAlign w:val="center"/>
          </w:tcPr>
          <w:p>
            <w:pPr>
              <w:widowControl/>
              <w:spacing w:line="600" w:lineRule="exact"/>
              <w:jc w:val="center"/>
              <w:rPr>
                <w:rFonts w:ascii="宋体" w:cs="宋体"/>
                <w:kern w:val="0"/>
                <w:sz w:val="24"/>
              </w:rPr>
            </w:pPr>
            <w:r>
              <w:rPr>
                <w:rFonts w:hint="eastAsia" w:ascii="楷体" w:hAnsi="楷体" w:eastAsia="楷体" w:cs="宋体"/>
                <w:kern w:val="0"/>
                <w:sz w:val="20"/>
                <w:szCs w:val="20"/>
              </w:rPr>
              <w:t>三、本年度办理结果</w:t>
            </w:r>
          </w:p>
        </w:tc>
        <w:tc>
          <w:tcPr>
            <w:tcW w:w="2774" w:type="dxa"/>
            <w:gridSpan w:val="2"/>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r>
              <w:rPr>
                <w:rFonts w:hint="eastAsia" w:ascii="楷体" w:hAnsi="楷体" w:eastAsia="楷体" w:cs="宋体"/>
                <w:kern w:val="0"/>
                <w:sz w:val="20"/>
                <w:szCs w:val="20"/>
              </w:rPr>
              <w:t>（一）予以公开</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default" w:ascii="宋体" w:cs="宋体" w:eastAsiaTheme="minorEastAsia"/>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19</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宋体" w:cs="宋体" w:eastAsiaTheme="minorEastAsia"/>
                <w:kern w:val="0"/>
                <w:sz w:val="24"/>
                <w:lang w:eastAsia="zh-CN"/>
              </w:rPr>
            </w:pPr>
            <w:r>
              <w:rPr>
                <w:rFonts w:hint="eastAsia" w:ascii="Calibri" w:hAnsi="Calibri" w:cs="宋体"/>
                <w:kern w:val="0"/>
                <w:sz w:val="20"/>
                <w:szCs w:val="20"/>
                <w:lang w:val="en-US" w:eastAsia="zh-CN"/>
              </w:rPr>
              <w:t>2</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宋体" w:cs="宋体" w:eastAsiaTheme="minorEastAsia"/>
                <w:kern w:val="0"/>
                <w:sz w:val="24"/>
                <w:lang w:eastAsia="zh-CN"/>
              </w:rPr>
            </w:pPr>
            <w:r>
              <w:rPr>
                <w:rFonts w:hint="eastAsia" w:ascii="Calibri" w:hAnsi="Calibri" w:cs="宋体"/>
                <w:kern w:val="0"/>
                <w:sz w:val="20"/>
                <w:szCs w:val="20"/>
                <w:lang w:val="en-US" w:eastAsia="zh-CN"/>
              </w:rPr>
              <w:t>21</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r>
              <w:rPr>
                <w:rFonts w:hint="eastAsia" w:ascii="楷体" w:hAnsi="楷体" w:eastAsia="楷体" w:cs="宋体"/>
                <w:kern w:val="0"/>
                <w:sz w:val="20"/>
                <w:szCs w:val="20"/>
              </w:rPr>
              <w:t>（二）部分公开（区分处理的，只计这一情形，不计其他情形）</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宋体" w:cs="宋体" w:eastAsiaTheme="minorEastAsia"/>
                <w:kern w:val="0"/>
                <w:sz w:val="24"/>
                <w:lang w:eastAsia="zh-CN"/>
              </w:rPr>
            </w:pPr>
            <w:r>
              <w:rPr>
                <w:rFonts w:ascii="Calibri" w:hAnsi="Calibri" w:cs="宋体"/>
                <w:kern w:val="0"/>
                <w:sz w:val="20"/>
                <w:szCs w:val="20"/>
              </w:rPr>
              <w:t> </w:t>
            </w:r>
            <w:r>
              <w:rPr>
                <w:rFonts w:hint="eastAsia" w:ascii="Calibri" w:hAnsi="Calibri" w:cs="宋体"/>
                <w:kern w:val="0"/>
                <w:sz w:val="20"/>
                <w:szCs w:val="20"/>
                <w:lang w:val="en-US" w:eastAsia="zh-CN"/>
              </w:rPr>
              <w:t>2</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宋体" w:cs="宋体" w:eastAsiaTheme="minorEastAsia"/>
                <w:kern w:val="0"/>
                <w:sz w:val="24"/>
                <w:lang w:eastAsia="zh-CN"/>
              </w:rPr>
            </w:pPr>
            <w:r>
              <w:rPr>
                <w:rFonts w:hint="eastAsia" w:ascii="Calibri" w:hAnsi="Calibri" w:cs="宋体"/>
                <w:kern w:val="0"/>
                <w:sz w:val="20"/>
                <w:szCs w:val="20"/>
                <w:lang w:val="en-US" w:eastAsia="zh-CN"/>
              </w:rPr>
              <w:t>2</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hint="eastAsia" w:ascii="楷体" w:hAnsi="楷体" w:eastAsia="楷体" w:cs="宋体"/>
                <w:kern w:val="0"/>
                <w:sz w:val="20"/>
                <w:szCs w:val="20"/>
              </w:rPr>
              <w:t>（三）不予公开</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1.</w:t>
            </w:r>
            <w:r>
              <w:rPr>
                <w:rFonts w:hint="eastAsia" w:ascii="楷体" w:hAnsi="楷体" w:eastAsia="楷体" w:cs="宋体"/>
                <w:kern w:val="0"/>
                <w:sz w:val="20"/>
                <w:szCs w:val="20"/>
              </w:rPr>
              <w:t>属于国家秘密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ascii="Calibri" w:hAnsi="Calibri" w:cs="宋体"/>
                <w:kern w:val="0"/>
                <w:sz w:val="20"/>
                <w:szCs w:val="20"/>
              </w:rPr>
              <w:t> </w:t>
            </w: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其他法律行政法规禁止公开</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3.</w:t>
            </w:r>
            <w:r>
              <w:rPr>
                <w:rFonts w:hint="eastAsia" w:ascii="楷体" w:hAnsi="楷体" w:eastAsia="楷体" w:cs="宋体"/>
                <w:kern w:val="0"/>
                <w:sz w:val="20"/>
                <w:szCs w:val="20"/>
              </w:rPr>
              <w:t>危及“三安全一稳定”</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ascii="Calibri" w:hAnsi="Calibri" w:cs="宋体"/>
                <w:kern w:val="0"/>
                <w:sz w:val="20"/>
                <w:szCs w:val="20"/>
              </w:rPr>
              <w:t> </w:t>
            </w: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4.</w:t>
            </w:r>
            <w:r>
              <w:rPr>
                <w:rFonts w:hint="eastAsia" w:ascii="楷体" w:hAnsi="楷体" w:eastAsia="楷体" w:cs="宋体"/>
                <w:kern w:val="0"/>
                <w:sz w:val="20"/>
                <w:szCs w:val="20"/>
              </w:rPr>
              <w:t>保护第三方合法权益</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ascii="Calibri" w:hAnsi="Calibri" w:cs="宋体"/>
                <w:kern w:val="0"/>
                <w:sz w:val="20"/>
                <w:szCs w:val="20"/>
              </w:rPr>
              <w:t> </w:t>
            </w: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5.</w:t>
            </w:r>
            <w:r>
              <w:rPr>
                <w:rFonts w:hint="eastAsia" w:ascii="楷体" w:hAnsi="楷体" w:eastAsia="楷体" w:cs="宋体"/>
                <w:kern w:val="0"/>
                <w:sz w:val="20"/>
                <w:szCs w:val="20"/>
              </w:rPr>
              <w:t>属于三类内部事务信息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ascii="Calibri" w:hAnsi="Calibri" w:cs="宋体"/>
                <w:kern w:val="0"/>
                <w:sz w:val="20"/>
                <w:szCs w:val="20"/>
              </w:rPr>
              <w:t> </w:t>
            </w: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6.</w:t>
            </w:r>
            <w:r>
              <w:rPr>
                <w:rFonts w:hint="eastAsia" w:ascii="楷体" w:hAnsi="楷体" w:eastAsia="楷体" w:cs="宋体"/>
                <w:kern w:val="0"/>
                <w:sz w:val="20"/>
                <w:szCs w:val="20"/>
              </w:rPr>
              <w:t>属于四类过程性信息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ascii="Calibri" w:hAnsi="Calibri" w:cs="宋体"/>
                <w:kern w:val="0"/>
                <w:sz w:val="20"/>
                <w:szCs w:val="20"/>
              </w:rPr>
              <w:t> </w:t>
            </w: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7.</w:t>
            </w:r>
            <w:r>
              <w:rPr>
                <w:rFonts w:hint="eastAsia" w:ascii="楷体" w:hAnsi="楷体" w:eastAsia="楷体" w:cs="宋体"/>
                <w:kern w:val="0"/>
                <w:sz w:val="20"/>
                <w:szCs w:val="20"/>
              </w:rPr>
              <w:t>属于行政执法案卷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ascii="Calibri" w:hAnsi="Calibri" w:cs="宋体"/>
                <w:kern w:val="0"/>
                <w:sz w:val="20"/>
                <w:szCs w:val="20"/>
              </w:rPr>
              <w:t> </w:t>
            </w: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8.</w:t>
            </w:r>
            <w:r>
              <w:rPr>
                <w:rFonts w:hint="eastAsia" w:ascii="楷体" w:hAnsi="楷体" w:eastAsia="楷体" w:cs="宋体"/>
                <w:kern w:val="0"/>
                <w:sz w:val="20"/>
                <w:szCs w:val="20"/>
              </w:rPr>
              <w:t>属于行政查询事项</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ascii="Calibri" w:hAnsi="Calibri" w:cs="宋体"/>
                <w:kern w:val="0"/>
                <w:sz w:val="20"/>
                <w:szCs w:val="20"/>
              </w:rPr>
              <w:t> </w:t>
            </w: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hint="eastAsia" w:ascii="楷体" w:hAnsi="楷体" w:eastAsia="楷体" w:cs="宋体"/>
                <w:kern w:val="0"/>
                <w:sz w:val="20"/>
                <w:szCs w:val="20"/>
              </w:rPr>
              <w:t>（四）无法提供</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1.</w:t>
            </w:r>
            <w:r>
              <w:rPr>
                <w:rFonts w:hint="eastAsia" w:ascii="楷体" w:hAnsi="楷体" w:eastAsia="楷体" w:cs="宋体"/>
                <w:kern w:val="0"/>
                <w:sz w:val="20"/>
                <w:szCs w:val="20"/>
              </w:rPr>
              <w:t>本机关不掌握相关政府信息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宋体" w:cs="宋体" w:eastAsiaTheme="minorEastAsia"/>
                <w:kern w:val="0"/>
                <w:sz w:val="24"/>
                <w:lang w:eastAsia="zh-CN"/>
              </w:rPr>
            </w:pPr>
            <w:r>
              <w:rPr>
                <w:rFonts w:hint="eastAsia" w:ascii="Calibri" w:hAnsi="Calibri" w:cs="宋体"/>
                <w:kern w:val="0"/>
                <w:sz w:val="20"/>
                <w:szCs w:val="20"/>
                <w:lang w:val="en-US" w:eastAsia="zh-CN"/>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宋体" w:cs="宋体" w:eastAsiaTheme="minorEastAsia"/>
                <w:kern w:val="0"/>
                <w:sz w:val="24"/>
                <w:lang w:eastAsia="zh-CN"/>
              </w:rPr>
            </w:pPr>
            <w:r>
              <w:rPr>
                <w:rFonts w:hint="eastAsia" w:ascii="Calibri" w:hAnsi="Calibri" w:cs="宋体"/>
                <w:kern w:val="0"/>
                <w:sz w:val="20"/>
                <w:szCs w:val="20"/>
                <w:lang w:val="en-US" w:eastAsia="zh-CN"/>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宋体" w:cs="宋体" w:eastAsiaTheme="minorEastAsia"/>
                <w:kern w:val="0"/>
                <w:sz w:val="24"/>
                <w:lang w:eastAsia="zh-CN"/>
              </w:rPr>
            </w:pPr>
            <w:r>
              <w:rPr>
                <w:rFonts w:hint="eastAsia" w:ascii="Calibri" w:hAnsi="Calibri" w:cs="宋体"/>
                <w:kern w:val="0"/>
                <w:sz w:val="20"/>
                <w:szCs w:val="20"/>
                <w:lang w:val="en-US" w:eastAsia="zh-CN"/>
              </w:rPr>
              <w:t>2</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没有现成信息需要另行制作</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ascii="Calibri" w:hAnsi="Calibri" w:cs="宋体"/>
                <w:kern w:val="0"/>
                <w:sz w:val="20"/>
                <w:szCs w:val="20"/>
              </w:rPr>
              <w:t> </w:t>
            </w: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3.</w:t>
            </w:r>
            <w:r>
              <w:rPr>
                <w:rFonts w:hint="eastAsia" w:ascii="楷体" w:hAnsi="楷体" w:eastAsia="楷体" w:cs="宋体"/>
                <w:kern w:val="0"/>
                <w:sz w:val="20"/>
                <w:szCs w:val="20"/>
              </w:rPr>
              <w:t>补正后申请内容仍不明确</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ascii="Calibri" w:hAnsi="Calibri" w:cs="宋体"/>
                <w:kern w:val="0"/>
                <w:sz w:val="20"/>
                <w:szCs w:val="20"/>
              </w:rPr>
              <w:t> </w:t>
            </w: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hint="eastAsia" w:ascii="楷体" w:hAnsi="楷体" w:eastAsia="楷体" w:cs="宋体"/>
                <w:kern w:val="0"/>
                <w:sz w:val="20"/>
                <w:szCs w:val="20"/>
              </w:rPr>
              <w:t>（五）不予处理</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1.</w:t>
            </w:r>
            <w:r>
              <w:rPr>
                <w:rFonts w:hint="eastAsia" w:ascii="楷体" w:hAnsi="楷体" w:eastAsia="楷体" w:cs="宋体"/>
                <w:kern w:val="0"/>
                <w:sz w:val="20"/>
                <w:szCs w:val="20"/>
              </w:rPr>
              <w:t>信访举报投诉类申请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ascii="Calibri" w:hAnsi="Calibri" w:cs="宋体"/>
                <w:kern w:val="0"/>
                <w:sz w:val="20"/>
                <w:szCs w:val="20"/>
              </w:rPr>
              <w:t> </w:t>
            </w: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重复申请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宋体" w:cs="宋体" w:eastAsiaTheme="minorEastAsia"/>
                <w:kern w:val="0"/>
                <w:sz w:val="24"/>
                <w:lang w:eastAsia="zh-CN"/>
              </w:rPr>
            </w:pPr>
            <w:r>
              <w:rPr>
                <w:rFonts w:ascii="Calibri" w:hAnsi="Calibri" w:cs="宋体"/>
                <w:kern w:val="0"/>
                <w:sz w:val="20"/>
                <w:szCs w:val="20"/>
              </w:rPr>
              <w:t> </w:t>
            </w:r>
            <w:r>
              <w:rPr>
                <w:rFonts w:hint="eastAsia" w:ascii="Calibri" w:hAnsi="Calibri" w:cs="宋体"/>
                <w:kern w:val="0"/>
                <w:sz w:val="20"/>
                <w:szCs w:val="20"/>
                <w:lang w:val="en-US" w:eastAsia="zh-CN"/>
              </w:rPr>
              <w:t>2</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宋体" w:cs="宋体" w:eastAsiaTheme="minorEastAsia"/>
                <w:kern w:val="0"/>
                <w:sz w:val="24"/>
                <w:lang w:eastAsia="zh-CN"/>
              </w:rPr>
            </w:pPr>
            <w:r>
              <w:rPr>
                <w:rFonts w:hint="eastAsia" w:ascii="Calibri" w:hAnsi="Calibri" w:cs="宋体"/>
                <w:kern w:val="0"/>
                <w:sz w:val="20"/>
                <w:szCs w:val="20"/>
                <w:lang w:val="en-US" w:eastAsia="zh-CN"/>
              </w:rPr>
              <w:t>2</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3.</w:t>
            </w:r>
            <w:r>
              <w:rPr>
                <w:rFonts w:hint="eastAsia" w:ascii="楷体" w:hAnsi="楷体" w:eastAsia="楷体" w:cs="宋体"/>
                <w:kern w:val="0"/>
                <w:sz w:val="20"/>
                <w:szCs w:val="20"/>
              </w:rPr>
              <w:t>要求提供公开出版物</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ascii="Calibri" w:hAnsi="Calibri" w:cs="宋体"/>
                <w:kern w:val="0"/>
                <w:sz w:val="20"/>
                <w:szCs w:val="20"/>
              </w:rPr>
              <w:t> </w:t>
            </w: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4.</w:t>
            </w:r>
            <w:r>
              <w:rPr>
                <w:rFonts w:hint="eastAsia" w:ascii="楷体" w:hAnsi="楷体" w:eastAsia="楷体" w:cs="宋体"/>
                <w:kern w:val="0"/>
                <w:sz w:val="20"/>
                <w:szCs w:val="20"/>
              </w:rPr>
              <w:t>无正当理由大量反复申请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ascii="Calibri" w:hAnsi="Calibri" w:cs="宋体"/>
                <w:kern w:val="0"/>
                <w:sz w:val="20"/>
                <w:szCs w:val="20"/>
              </w:rPr>
              <w:t> </w:t>
            </w: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left"/>
              <w:rPr>
                <w:rFonts w:ascii="宋体" w:cs="宋体"/>
                <w:kern w:val="0"/>
                <w:sz w:val="24"/>
              </w:rPr>
            </w:pPr>
            <w:r>
              <w:rPr>
                <w:rFonts w:ascii="楷体" w:hAnsi="楷体" w:eastAsia="楷体" w:cs="宋体"/>
                <w:kern w:val="0"/>
                <w:sz w:val="20"/>
                <w:szCs w:val="20"/>
              </w:rPr>
              <w:t>5.</w:t>
            </w:r>
            <w:r>
              <w:rPr>
                <w:rFonts w:hint="eastAsia" w:ascii="楷体" w:hAnsi="楷体" w:eastAsia="楷体" w:cs="宋体"/>
                <w:kern w:val="0"/>
                <w:sz w:val="20"/>
                <w:szCs w:val="20"/>
              </w:rPr>
              <w:t>要求行政机关确认或重新出具已获取信息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ascii="Calibri" w:hAnsi="Calibri" w:cs="宋体"/>
                <w:kern w:val="0"/>
                <w:sz w:val="20"/>
                <w:szCs w:val="20"/>
              </w:rPr>
              <w:t> </w:t>
            </w: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r>
              <w:rPr>
                <w:rFonts w:hint="eastAsia" w:ascii="楷体" w:hAnsi="楷体" w:eastAsia="楷体" w:cs="宋体"/>
                <w:kern w:val="0"/>
                <w:sz w:val="20"/>
                <w:szCs w:val="20"/>
              </w:rPr>
              <w:t>（六）其他处理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r>
              <w:rPr>
                <w:rFonts w:ascii="Calibri" w:hAnsi="Calibri"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宋体" w:cs="宋体" w:eastAsiaTheme="minorEastAsia"/>
                <w:kern w:val="0"/>
                <w:sz w:val="24"/>
                <w:lang w:eastAsia="zh-CN"/>
              </w:rPr>
            </w:pPr>
            <w:r>
              <w:rPr>
                <w:rFonts w:hint="eastAsia" w:ascii="Calibri" w:hAnsi="Calibri" w:cs="宋体"/>
                <w:kern w:val="0"/>
                <w:sz w:val="20"/>
                <w:szCs w:val="20"/>
                <w:lang w:val="en-US" w:eastAsia="zh-CN"/>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宋体" w:cs="宋体" w:eastAsiaTheme="minorEastAsia"/>
                <w:kern w:val="0"/>
                <w:sz w:val="24"/>
                <w:lang w:eastAsia="zh-CN"/>
              </w:rPr>
            </w:pPr>
            <w:r>
              <w:rPr>
                <w:rFonts w:hint="eastAsia" w:ascii="Calibri" w:hAnsi="Calibri" w:cs="宋体"/>
                <w:kern w:val="0"/>
                <w:sz w:val="20"/>
                <w:szCs w:val="20"/>
                <w:lang w:val="en-US" w:eastAsia="zh-CN"/>
              </w:rPr>
              <w:t>1</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600" w:lineRule="exact"/>
              <w:jc w:val="left"/>
              <w:rPr>
                <w:rFonts w:ascii="宋体" w:cs="宋体"/>
                <w:kern w:val="0"/>
                <w:sz w:val="24"/>
              </w:rPr>
            </w:pPr>
            <w:r>
              <w:rPr>
                <w:rFonts w:hint="eastAsia" w:ascii="楷体" w:hAnsi="楷体" w:eastAsia="楷体" w:cs="宋体"/>
                <w:kern w:val="0"/>
                <w:sz w:val="20"/>
                <w:szCs w:val="20"/>
              </w:rPr>
              <w:t>（七）总计</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default" w:ascii="宋体" w:cs="宋体" w:eastAsiaTheme="minorEastAsia"/>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24</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eastAsia" w:ascii="宋体" w:cs="宋体" w:eastAsiaTheme="minorEastAsia"/>
                <w:kern w:val="0"/>
                <w:sz w:val="24"/>
                <w:lang w:val="en-US" w:eastAsia="zh-CN"/>
              </w:rPr>
            </w:pPr>
            <w:r>
              <w:rPr>
                <w:rFonts w:hint="eastAsia" w:ascii="Calibri" w:hAnsi="Calibri" w:cs="宋体"/>
                <w:kern w:val="0"/>
                <w:sz w:val="20"/>
                <w:szCs w:val="20"/>
                <w:lang w:val="en-US" w:eastAsia="zh-CN"/>
              </w:rPr>
              <w:t>4</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hint="default" w:ascii="宋体" w:cs="宋体" w:eastAsiaTheme="minorEastAsia"/>
                <w:kern w:val="0"/>
                <w:sz w:val="24"/>
                <w:lang w:val="en-US" w:eastAsia="zh-CN"/>
              </w:rPr>
            </w:pPr>
            <w:r>
              <w:rPr>
                <w:rFonts w:hint="eastAsia" w:ascii="Calibri" w:hAnsi="Calibri" w:cs="宋体"/>
                <w:kern w:val="0"/>
                <w:sz w:val="20"/>
                <w:szCs w:val="20"/>
                <w:lang w:val="en-US" w:eastAsia="zh-CN"/>
              </w:rPr>
              <w:t>28</w:t>
            </w: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600" w:lineRule="exact"/>
              <w:jc w:val="left"/>
              <w:rPr>
                <w:rFonts w:ascii="宋体" w:cs="宋体"/>
                <w:kern w:val="0"/>
                <w:sz w:val="24"/>
              </w:rPr>
            </w:pPr>
            <w:r>
              <w:rPr>
                <w:rFonts w:hint="eastAsia" w:ascii="楷体" w:hAnsi="楷体" w:eastAsia="楷体" w:cs="宋体"/>
                <w:kern w:val="0"/>
                <w:sz w:val="20"/>
                <w:szCs w:val="20"/>
              </w:rPr>
              <w:t>四、结转下年度继续办理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ascii="Calibri" w:hAnsi="Calibri" w:cs="宋体"/>
                <w:kern w:val="0"/>
                <w:sz w:val="20"/>
                <w:szCs w:val="20"/>
              </w:rPr>
              <w:t> </w:t>
            </w: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Calibri" w:hAnsi="Calibri"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宋体" w:cs="宋体"/>
                <w:kern w:val="0"/>
                <w:sz w:val="24"/>
              </w:rPr>
            </w:pPr>
            <w:r>
              <w:rPr>
                <w:rFonts w:hint="eastAsia" w:ascii="宋体" w:cs="宋体"/>
                <w:kern w:val="0"/>
                <w:sz w:val="24"/>
              </w:rPr>
              <w:t>0</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Chars="0" w:right="0" w:rightChars="0"/>
        <w:jc w:val="both"/>
        <w:rPr>
          <w:rFonts w:hint="default" w:ascii="宋体" w:hAnsi="宋体" w:eastAsia="宋体" w:cs="宋体"/>
          <w:b/>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caps w:val="0"/>
          <w:color w:val="333333"/>
          <w:spacing w:val="0"/>
          <w:sz w:val="24"/>
          <w:szCs w:val="24"/>
        </w:rPr>
      </w:pPr>
      <w:r>
        <w:rPr>
          <w:rFonts w:hint="default" w:ascii="Calibri" w:hAnsi="Calibri" w:cs="Calibri"/>
          <w:i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b/>
          <w:i w:val="0"/>
          <w:caps w:val="0"/>
          <w:color w:val="333333"/>
          <w:spacing w:val="0"/>
          <w:sz w:val="32"/>
          <w:szCs w:val="32"/>
          <w:shd w:val="clear" w:fill="FFFFFF"/>
        </w:rPr>
        <w:t>四、政府信息公开行政复议、行政诉讼情况</w:t>
      </w:r>
    </w:p>
    <w:tbl>
      <w:tblPr>
        <w:tblStyle w:val="5"/>
        <w:tblW w:w="8481"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554"/>
        <w:gridCol w:w="554"/>
        <w:gridCol w:w="554"/>
        <w:gridCol w:w="554"/>
        <w:gridCol w:w="554"/>
        <w:gridCol w:w="554"/>
        <w:gridCol w:w="554"/>
        <w:gridCol w:w="554"/>
        <w:gridCol w:w="554"/>
        <w:gridCol w:w="554"/>
        <w:gridCol w:w="554"/>
        <w:gridCol w:w="555"/>
        <w:gridCol w:w="555"/>
        <w:gridCol w:w="555"/>
        <w:gridCol w:w="7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770" w:type="dxa"/>
            <w:gridSpan w:val="5"/>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行政复议</w:t>
            </w:r>
          </w:p>
        </w:tc>
        <w:tc>
          <w:tcPr>
            <w:tcW w:w="5711" w:type="dxa"/>
            <w:gridSpan w:val="10"/>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54" w:type="dxa"/>
            <w:vMerge w:val="restart"/>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结果维持</w:t>
            </w:r>
          </w:p>
        </w:tc>
        <w:tc>
          <w:tcPr>
            <w:tcW w:w="554" w:type="dxa"/>
            <w:vMerge w:val="restart"/>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结果纠正</w:t>
            </w:r>
          </w:p>
        </w:tc>
        <w:tc>
          <w:tcPr>
            <w:tcW w:w="554" w:type="dxa"/>
            <w:vMerge w:val="restart"/>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其他结果</w:t>
            </w:r>
          </w:p>
        </w:tc>
        <w:tc>
          <w:tcPr>
            <w:tcW w:w="554" w:type="dxa"/>
            <w:vMerge w:val="restart"/>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尚未审结</w:t>
            </w:r>
          </w:p>
        </w:tc>
        <w:tc>
          <w:tcPr>
            <w:tcW w:w="554" w:type="dxa"/>
            <w:vMerge w:val="restart"/>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总计</w:t>
            </w:r>
          </w:p>
        </w:tc>
        <w:tc>
          <w:tcPr>
            <w:tcW w:w="2770" w:type="dxa"/>
            <w:gridSpan w:val="5"/>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未经复议直接起诉</w:t>
            </w:r>
          </w:p>
        </w:tc>
        <w:tc>
          <w:tcPr>
            <w:tcW w:w="2941" w:type="dxa"/>
            <w:gridSpan w:val="5"/>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54" w:type="dxa"/>
            <w:vMerge w:val="continue"/>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p>
        </w:tc>
        <w:tc>
          <w:tcPr>
            <w:tcW w:w="554" w:type="dxa"/>
            <w:vMerge w:val="continue"/>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p>
        </w:tc>
        <w:tc>
          <w:tcPr>
            <w:tcW w:w="554" w:type="dxa"/>
            <w:vMerge w:val="continue"/>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p>
        </w:tc>
        <w:tc>
          <w:tcPr>
            <w:tcW w:w="554" w:type="dxa"/>
            <w:vMerge w:val="continue"/>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p>
        </w:tc>
        <w:tc>
          <w:tcPr>
            <w:tcW w:w="554" w:type="dxa"/>
            <w:vMerge w:val="continue"/>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p>
        </w:tc>
        <w:tc>
          <w:tcPr>
            <w:tcW w:w="554"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结果维持</w:t>
            </w:r>
          </w:p>
        </w:tc>
        <w:tc>
          <w:tcPr>
            <w:tcW w:w="554"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结果纠正</w:t>
            </w:r>
          </w:p>
        </w:tc>
        <w:tc>
          <w:tcPr>
            <w:tcW w:w="554"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其他结果</w:t>
            </w:r>
          </w:p>
        </w:tc>
        <w:tc>
          <w:tcPr>
            <w:tcW w:w="554"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尚未审结</w:t>
            </w:r>
          </w:p>
        </w:tc>
        <w:tc>
          <w:tcPr>
            <w:tcW w:w="554"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总计</w:t>
            </w:r>
          </w:p>
        </w:tc>
        <w:tc>
          <w:tcPr>
            <w:tcW w:w="554"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结果维持</w:t>
            </w:r>
          </w:p>
        </w:tc>
        <w:tc>
          <w:tcPr>
            <w:tcW w:w="555"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结果纠正</w:t>
            </w:r>
          </w:p>
        </w:tc>
        <w:tc>
          <w:tcPr>
            <w:tcW w:w="555"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其他结果</w:t>
            </w:r>
          </w:p>
        </w:tc>
        <w:tc>
          <w:tcPr>
            <w:tcW w:w="555"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尚未审结</w:t>
            </w:r>
          </w:p>
        </w:tc>
        <w:tc>
          <w:tcPr>
            <w:tcW w:w="722"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left"/>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54"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c>
          <w:tcPr>
            <w:tcW w:w="554"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c>
          <w:tcPr>
            <w:tcW w:w="554"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c>
          <w:tcPr>
            <w:tcW w:w="554"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c>
          <w:tcPr>
            <w:tcW w:w="554"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c>
          <w:tcPr>
            <w:tcW w:w="554"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c>
          <w:tcPr>
            <w:tcW w:w="554"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c>
          <w:tcPr>
            <w:tcW w:w="554"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c>
          <w:tcPr>
            <w:tcW w:w="554"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c>
          <w:tcPr>
            <w:tcW w:w="554"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c>
          <w:tcPr>
            <w:tcW w:w="554"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c>
          <w:tcPr>
            <w:tcW w:w="555"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c>
          <w:tcPr>
            <w:tcW w:w="555"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c>
          <w:tcPr>
            <w:tcW w:w="555"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c>
          <w:tcPr>
            <w:tcW w:w="722"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楷体" w:hAnsi="楷体" w:eastAsia="楷体" w:cs="宋体"/>
                <w:kern w:val="0"/>
                <w:sz w:val="20"/>
                <w:szCs w:val="20"/>
                <w:lang w:val="en-US" w:eastAsia="zh-CN" w:bidi="ar-SA"/>
              </w:rPr>
            </w:pPr>
            <w:r>
              <w:rPr>
                <w:rFonts w:hint="eastAsia" w:ascii="楷体" w:hAnsi="楷体" w:eastAsia="楷体" w:cs="宋体"/>
                <w:kern w:val="0"/>
                <w:sz w:val="20"/>
                <w:szCs w:val="20"/>
                <w:lang w:val="en-US" w:eastAsia="zh-CN" w:bidi="ar-SA"/>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caps w:val="0"/>
          <w:color w:val="333333"/>
          <w:spacing w:val="0"/>
          <w:sz w:val="24"/>
          <w:szCs w:val="24"/>
        </w:rPr>
      </w:pPr>
      <w:r>
        <w:rPr>
          <w:rFonts w:hint="default" w:ascii="Calibri" w:hAnsi="Calibri" w:cs="Calibri"/>
          <w:i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default" w:ascii="Calibri" w:hAnsi="Calibri" w:cs="Calibri"/>
          <w:i w:val="0"/>
          <w:caps w:val="0"/>
          <w:color w:val="333333"/>
          <w:spacing w:val="0"/>
          <w:sz w:val="24"/>
          <w:szCs w:val="24"/>
        </w:rPr>
      </w:pPr>
      <w:r>
        <w:rPr>
          <w:rFonts w:hint="eastAsia" w:ascii="宋体" w:hAnsi="宋体" w:eastAsia="宋体" w:cs="宋体"/>
          <w:b/>
          <w:i w:val="0"/>
          <w:caps w:val="0"/>
          <w:color w:val="333333"/>
          <w:spacing w:val="0"/>
          <w:sz w:val="32"/>
          <w:szCs w:val="32"/>
          <w:shd w:val="clear" w:fill="FFFFFF"/>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0"/>
        <w:jc w:val="left"/>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存在问题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shd w:val="clear" w:fill="FFFFFF"/>
        </w:rPr>
        <w:t>少数乡镇、部门对政务公开重要性的认识不够，乡镇之间、部门之间工作进展不均衡。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000000"/>
          <w:spacing w:val="0"/>
          <w:sz w:val="32"/>
          <w:szCs w:val="32"/>
          <w:shd w:val="clear" w:fill="FFFFFF"/>
        </w:rPr>
        <w:t>2、基层政务公开工作力量比较薄弱，具办人员存在流动性大、业务交接不衔接等问题。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3、存在部分单位一些该公开的信息内容未公开或者未全面公开，公开的内容避实就虚，公开不及时，内容要素不全等问题。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 w:lineRule="atLeast"/>
        <w:ind w:left="420" w:right="0" w:firstLine="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000000"/>
          <w:spacing w:val="0"/>
          <w:sz w:val="32"/>
          <w:szCs w:val="32"/>
          <w:shd w:val="clear" w:fill="FFFFFF"/>
        </w:rPr>
        <w:t>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 w:hAnsi="仿宋" w:eastAsia="仿宋" w:cs="仿宋"/>
          <w:i w:val="0"/>
          <w:caps w:val="0"/>
          <w:color w:val="000000"/>
          <w:spacing w:val="0"/>
          <w:sz w:val="32"/>
          <w:szCs w:val="32"/>
          <w:shd w:val="clear" w:fill="FFFFFF"/>
        </w:rPr>
      </w:pPr>
      <w:r>
        <w:rPr>
          <w:rFonts w:hint="default" w:ascii="Times New Roman" w:hAnsi="Times New Roman" w:cs="Times New Roman"/>
          <w:i w:val="0"/>
          <w:caps w:val="0"/>
          <w:color w:val="333333"/>
          <w:spacing w:val="0"/>
          <w:sz w:val="32"/>
          <w:szCs w:val="32"/>
          <w:shd w:val="clear" w:fill="FFFFFF"/>
        </w:rPr>
        <w:t> </w:t>
      </w:r>
      <w:r>
        <w:rPr>
          <w:rFonts w:hint="eastAsia" w:ascii="微软雅黑" w:hAnsi="微软雅黑" w:eastAsia="微软雅黑" w:cs="微软雅黑"/>
          <w:i w:val="0"/>
          <w:caps w:val="0"/>
          <w:color w:val="333333"/>
          <w:spacing w:val="0"/>
          <w:sz w:val="32"/>
          <w:szCs w:val="32"/>
          <w:shd w:val="clear" w:fill="FFFFFF"/>
        </w:rPr>
        <w:t>   </w:t>
      </w:r>
      <w:r>
        <w:rPr>
          <w:rFonts w:hint="eastAsia" w:ascii="仿宋" w:hAnsi="仿宋" w:eastAsia="仿宋" w:cs="仿宋"/>
          <w:b/>
          <w:i w:val="0"/>
          <w:caps w:val="0"/>
          <w:color w:val="000000"/>
          <w:spacing w:val="0"/>
          <w:sz w:val="32"/>
          <w:szCs w:val="32"/>
          <w:shd w:val="clear" w:fill="FFFFFF"/>
        </w:rPr>
        <w:t>1、加强培训、提高能力。</w:t>
      </w:r>
      <w:r>
        <w:rPr>
          <w:rFonts w:hint="eastAsia" w:ascii="仿宋" w:hAnsi="仿宋" w:eastAsia="仿宋" w:cs="仿宋"/>
          <w:i w:val="0"/>
          <w:caps w:val="0"/>
          <w:color w:val="000000"/>
          <w:spacing w:val="0"/>
          <w:sz w:val="32"/>
          <w:szCs w:val="32"/>
          <w:shd w:val="clear" w:fill="FFFFFF"/>
        </w:rPr>
        <w:t>邀请第三方专业人员、专家授课等，对人员进行集中培训，同时强化点对点指导等形式，加强信息公开队伍建设，不断夯实能力基础，全面提高政务公开工作人员的理论和实践水平。</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2、进一步推进基层政务公开标准化规范化工作。</w:t>
      </w:r>
      <w:r>
        <w:rPr>
          <w:rFonts w:hint="eastAsia" w:ascii="仿宋" w:hAnsi="仿宋" w:eastAsia="仿宋" w:cs="仿宋"/>
          <w:i w:val="0"/>
          <w:caps w:val="0"/>
          <w:color w:val="000000"/>
          <w:spacing w:val="0"/>
          <w:sz w:val="32"/>
          <w:szCs w:val="32"/>
          <w:shd w:val="clear" w:fill="FFFFFF"/>
        </w:rPr>
        <w:t>建立完善政府信息管理、信息发布、解读回应、依申请公开、公众参与、监督考核等工作流程和相关制度；指导支持村（居）民委员会建立公开事项清单，公开属于自治范围内的事项；汇总编制办事一本通。有条件的乡镇设立政务公开专区。推进政务公开事项标准目录、标准规范和工作流程嵌入部门业务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3" w:firstLineChars="200"/>
        <w:jc w:val="left"/>
        <w:rPr>
          <w:rFonts w:hint="default" w:ascii="Calibri" w:hAnsi="Calibri" w:cs="Calibri"/>
          <w:i w:val="0"/>
          <w:caps w:val="0"/>
          <w:color w:val="333333"/>
          <w:spacing w:val="0"/>
          <w:sz w:val="24"/>
          <w:szCs w:val="24"/>
        </w:rPr>
      </w:pPr>
      <w:r>
        <w:rPr>
          <w:rFonts w:hint="eastAsia" w:ascii="仿宋" w:hAnsi="仿宋" w:eastAsia="仿宋" w:cs="仿宋"/>
          <w:b/>
          <w:i w:val="0"/>
          <w:caps w:val="0"/>
          <w:color w:val="000000"/>
          <w:spacing w:val="0"/>
          <w:sz w:val="32"/>
          <w:szCs w:val="32"/>
          <w:shd w:val="clear" w:fill="FFFFFF"/>
        </w:rPr>
        <w:t>3、提高考核的针对性和科学性。</w:t>
      </w:r>
      <w:r>
        <w:rPr>
          <w:rFonts w:hint="eastAsia" w:ascii="仿宋" w:hAnsi="仿宋" w:eastAsia="仿宋" w:cs="仿宋"/>
          <w:i w:val="0"/>
          <w:caps w:val="0"/>
          <w:color w:val="000000"/>
          <w:spacing w:val="0"/>
          <w:sz w:val="32"/>
          <w:szCs w:val="32"/>
          <w:shd w:val="clear" w:fill="FFFFFF"/>
        </w:rPr>
        <w:t>明确考核的范围、标准、环节、程序，强化结果运用。利用第三方机构评估、民意调查、网上问卷调查等方式，开展政务公开社会评议，聚焦群众需求，完善公开方式，提升公开质量。</w:t>
      </w:r>
      <w:r>
        <w:rPr>
          <w:rFonts w:hint="eastAsia" w:ascii="宋体" w:hAnsi="宋体" w:eastAsia="宋体" w:cs="宋体"/>
          <w:b w:val="0"/>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default" w:ascii="Calibri" w:hAnsi="Calibri" w:cs="Calibri"/>
          <w:i w:val="0"/>
          <w:caps w:val="0"/>
          <w:color w:val="333333"/>
          <w:spacing w:val="0"/>
          <w:sz w:val="24"/>
          <w:szCs w:val="24"/>
        </w:rPr>
      </w:pPr>
      <w:r>
        <w:rPr>
          <w:rFonts w:hint="eastAsia" w:ascii="宋体" w:hAnsi="宋体" w:eastAsia="宋体" w:cs="宋体"/>
          <w:b/>
          <w:i w:val="0"/>
          <w:caps w:val="0"/>
          <w:color w:val="333333"/>
          <w:spacing w:val="0"/>
          <w:sz w:val="32"/>
          <w:szCs w:val="32"/>
          <w:shd w:val="clear" w:fill="FFFFFF"/>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0"/>
        <w:jc w:val="left"/>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无其他报告事项。</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640" w:firstLineChars="200"/>
        <w:rPr>
          <w:rFonts w:hint="default" w:ascii="仿宋_GB2312" w:hAnsi="微软雅黑" w:eastAsia="仿宋_GB2312" w:cs="仿宋_GB2312"/>
          <w:i w:val="0"/>
          <w:caps w:val="0"/>
          <w:color w:val="000000"/>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C4430"/>
    <w:multiLevelType w:val="singleLevel"/>
    <w:tmpl w:val="3BFC443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4706E"/>
    <w:rsid w:val="08175EA1"/>
    <w:rsid w:val="0E765F7F"/>
    <w:rsid w:val="0E9F1EDD"/>
    <w:rsid w:val="18CC6F78"/>
    <w:rsid w:val="1AB34A5F"/>
    <w:rsid w:val="1B7B2DB6"/>
    <w:rsid w:val="1FAA009B"/>
    <w:rsid w:val="222D6DDE"/>
    <w:rsid w:val="3CEF27B5"/>
    <w:rsid w:val="449538E4"/>
    <w:rsid w:val="4D197DBB"/>
    <w:rsid w:val="50D44551"/>
    <w:rsid w:val="5B57052C"/>
    <w:rsid w:val="65B15752"/>
    <w:rsid w:val="670F37CE"/>
    <w:rsid w:val="7124706E"/>
    <w:rsid w:val="744E6544"/>
    <w:rsid w:val="74F57DE8"/>
    <w:rsid w:val="79ED4E5C"/>
    <w:rsid w:val="7B9368E2"/>
    <w:rsid w:val="7CAA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rPr>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4085</Words>
  <Characters>4178</Characters>
  <Lines>0</Lines>
  <Paragraphs>0</Paragraphs>
  <TotalTime>50</TotalTime>
  <ScaleCrop>false</ScaleCrop>
  <LinksUpToDate>false</LinksUpToDate>
  <CharactersWithSpaces>4192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2020-01-27T16:45:00Z</dcterms:created>
  <dc:creator>@@@@@@@</dc:creator>
  <cp:lastModifiedBy>Administrator</cp:lastModifiedBy>
  <dcterms:modified xsi:type="dcterms:W3CDTF">2021-09-22T06:31:39Z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9C1C8D3D5C574557AD3C78152353B1B4</vt:lpwstr>
  </property>
</Properties>
</file>