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6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2887"/>
        <w:gridCol w:w="3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6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_GBK" w:hAnsi="方正小标宋_GBK" w:eastAsia="方正小标宋_GBK" w:cs="宋体"/>
                <w:color w:val="000000"/>
                <w:kern w:val="0"/>
                <w:sz w:val="44"/>
                <w:szCs w:val="44"/>
              </w:rPr>
              <w:t>年部门整体支出绩效目标表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654" w:type="dxa"/>
            <w:gridSpan w:val="3"/>
            <w:tcBorders>
              <w:bottom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hAnsi="楷体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寿县财政局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年度预算申请</w:t>
            </w: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资金总额：3005.27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按收入性质分：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按支出性质分：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4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一般公共预算：3005.27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4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基本支出：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2317.27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4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项目支出：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其他资金：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3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部门职能职责概述</w:t>
            </w: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县教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财政局贯彻执行国家财税法律、法规和规章，负责管理全县财政收支，编制年度县级财政预决算草案并组织执行等。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整体绩效目标</w:t>
            </w: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目标1：加强财政收支预期管理。全面落实减税降费政策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目标2：持续推进预算编制改革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目标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防范化解地方政府隐性债务风险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目标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全面实施预算绩效管理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部门整体支出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年度绩效指标</w:t>
            </w:r>
          </w:p>
        </w:tc>
        <w:tc>
          <w:tcPr>
            <w:tcW w:w="2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  指标1：全面落实减税降费政策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  指标2：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重点项目预算绩效全覆盖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  指标3：完成年度存量隐性债务化解任务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  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：支持乡村振兴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乡村教师素质提升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引导地方扩大普惠性学前教育资源持续增加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持续提升民生工程质量效益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提高财政资金配置使用效益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2880"/>
    <w:rsid w:val="323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2021-03-31T01:36:00Z</dcterms:created>
  <dc:creator>二蛋</dc:creator>
  <cp:lastModifiedBy>二蛋</cp:lastModifiedBy>
  <dcterms:modified xsi:type="dcterms:W3CDTF">2021-03-31T02:27:26Z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