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寿人社〔2020〕27号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关于开展2020年劳动保障书面审查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和诚信等级评价工作的通知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乡镇人民政府、园区管委会，</w:t>
      </w:r>
      <w:r>
        <w:rPr>
          <w:rFonts w:hint="eastAsia" w:ascii="仿宋_GB2312" w:hAnsi="仿宋" w:eastAsia="仿宋_GB2312"/>
          <w:sz w:val="32"/>
          <w:szCs w:val="32"/>
        </w:rPr>
        <w:t>企事业主管部门及用人单位：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为督促指导用人单位遵守劳动保障法律法规，提高依法用工和守法诚信意识，健全用人单位劳动保障守法诚信档案，进一步提升劳动保障监察主动执法效能，根据《劳动保障监察条例》、《安徽省人民政府关于印发加快推进“互联网+政务服务”工作方案的通知》（皖政〔2017〕25号）等规定，决定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范围内开展2020年劳动保障书面审查（以下称书面审查）和诚信等级评价工作。现就有关事项通知如下：</w:t>
      </w:r>
    </w:p>
    <w:p>
      <w:pPr>
        <w:widowControl/>
        <w:spacing w:line="560" w:lineRule="exact"/>
        <w:ind w:firstLine="640" w:firstLineChars="200"/>
        <w:rPr>
          <w:rFonts w:ascii="黑体" w:hAnsi="ˎ̥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ˎ̥" w:eastAsia="黑体" w:cs="宋体"/>
          <w:kern w:val="0"/>
          <w:sz w:val="32"/>
          <w:szCs w:val="32"/>
        </w:rPr>
        <w:t>书面审查工作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（一）时间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2020年6月至9月。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（二）书面审查范围。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行政区域内各类企业、个体经济组织、民办非企业单位等组织；与劳动者建立劳动关系的国家机关、事业单位、社会团体（以下统称用人单位）。</w:t>
      </w:r>
    </w:p>
    <w:p>
      <w:pPr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为加强我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" w:eastAsia="仿宋_GB2312"/>
          <w:sz w:val="32"/>
          <w:szCs w:val="32"/>
        </w:rPr>
        <w:t>建设领域保障农民工工资支付工作，在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寿县</w:t>
      </w:r>
      <w:r>
        <w:rPr>
          <w:rFonts w:hint="eastAsia" w:ascii="仿宋_GB2312" w:hAnsi="仿宋" w:eastAsia="仿宋_GB2312"/>
          <w:sz w:val="32"/>
          <w:szCs w:val="32"/>
        </w:rPr>
        <w:t>的建筑施工企业（包括总承包企业、专业施工企业、劳务分包企业）均应参加2020年劳动保障书面审查。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（三）书面审查管辖。</w:t>
      </w:r>
      <w:r>
        <w:rPr>
          <w:rFonts w:hint="eastAsia" w:ascii="仿宋_GB2312" w:eastAsia="仿宋_GB2312"/>
          <w:sz w:val="32"/>
          <w:szCs w:val="32"/>
        </w:rPr>
        <w:t>依据《安徽省劳动保障监察办法》规定，书面审查工作根据用人单位用工所在地和工商注册地，按照属地、统筹、便民的原则，实行属地管辖。</w:t>
      </w:r>
      <w:r>
        <w:rPr>
          <w:rFonts w:hint="eastAsia" w:ascii="仿宋_GB2312" w:hAnsi="仿宋" w:eastAsia="仿宋_GB2312"/>
          <w:sz w:val="32"/>
          <w:szCs w:val="32"/>
        </w:rPr>
        <w:t>寿县人力资源和社会保障行政部门负责县行政区域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" w:eastAsia="仿宋_GB2312"/>
          <w:sz w:val="32"/>
          <w:szCs w:val="32"/>
        </w:rPr>
        <w:t>各类用人单位的审查工作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并负责辖区内在建项目施工企业的审查工作。</w:t>
      </w:r>
    </w:p>
    <w:p>
      <w:pPr>
        <w:spacing w:line="560" w:lineRule="exact"/>
        <w:ind w:firstLine="643" w:firstLineChars="20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（四）书面审查内容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按照《劳动保障监察条例》等规定，对用人单位2019年度遵守劳动保障法律法规情况实施书面审查。主要内容包括：</w:t>
      </w:r>
    </w:p>
    <w:p>
      <w:pPr>
        <w:pStyle w:val="6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用人单位制定内部规章制度的情况；</w:t>
      </w:r>
    </w:p>
    <w:p>
      <w:pPr>
        <w:pStyle w:val="6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2.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用人单位与劳动者订立劳动合同的情况；</w:t>
      </w:r>
    </w:p>
    <w:p>
      <w:pPr>
        <w:pStyle w:val="6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3.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用人单位遵守禁止使用童工规定的情况；</w:t>
      </w:r>
    </w:p>
    <w:p>
      <w:pPr>
        <w:pStyle w:val="6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4.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用人单位遵守女职工和未成年工特殊劳动保护规定的情况；</w:t>
      </w:r>
    </w:p>
    <w:p>
      <w:pPr>
        <w:pStyle w:val="6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5.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用人单位遵守工作时间和休息休假规定的情况；</w:t>
      </w:r>
    </w:p>
    <w:p>
      <w:pPr>
        <w:pStyle w:val="6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6.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用人单位支付劳动者工资和执行最低工资标准的情况；</w:t>
      </w:r>
    </w:p>
    <w:p>
      <w:pPr>
        <w:pStyle w:val="6"/>
        <w:widowControl w:val="0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7.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用人单位参加各项社会保险和缴纳社会保险费的情况；</w:t>
      </w:r>
    </w:p>
    <w:p>
      <w:pPr>
        <w:pStyle w:val="6"/>
        <w:widowControl w:val="0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8.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职业介绍机构、职业技能培训机构和职业技能考核鉴定机构遵守国家有关职业介绍、职业技能培训和职业技能考核鉴定规定的情况；</w:t>
      </w:r>
    </w:p>
    <w:p>
      <w:pPr>
        <w:pStyle w:val="6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9.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劳务派遣单位与用工单位遵守劳务派遣规定的情况；</w:t>
      </w:r>
    </w:p>
    <w:p>
      <w:pPr>
        <w:pStyle w:val="6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10.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法律、法规规定的其他劳动保障监察事项。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按照《安徽省企业民主管理条例》规定，用人单位实行事务公开、民主管理情况一并纳入书面审查内容。</w:t>
      </w:r>
    </w:p>
    <w:p>
      <w:pPr>
        <w:spacing w:line="560" w:lineRule="exact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黑体" w:hAnsi="ˎ̥" w:eastAsia="黑体" w:cs="宋体"/>
          <w:kern w:val="0"/>
          <w:sz w:val="32"/>
          <w:szCs w:val="32"/>
        </w:rPr>
        <w:t xml:space="preserve">    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（五）书面审查方式</w:t>
      </w:r>
    </w:p>
    <w:p>
      <w:pPr>
        <w:spacing w:line="600" w:lineRule="exact"/>
        <w:ind w:firstLine="480" w:firstLineChars="150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《安徽省人民政府关于印发加快推进“互联网+政务服务”</w:t>
      </w:r>
      <w:r>
        <w:rPr>
          <w:rFonts w:hint="eastAsia" w:ascii="仿宋_GB2312" w:eastAsia="仿宋_GB2312"/>
          <w:spacing w:val="-7"/>
          <w:sz w:val="32"/>
          <w:szCs w:val="32"/>
        </w:rPr>
        <w:t>工作方案的通知》</w:t>
      </w:r>
      <w:r>
        <w:rPr>
          <w:rFonts w:hint="eastAsia" w:ascii="仿宋_GB2312" w:hAnsi="仿宋_GB2312" w:eastAsia="仿宋_GB2312" w:cs="仿宋_GB2312"/>
          <w:spacing w:val="-7"/>
          <w:kern w:val="0"/>
          <w:sz w:val="32"/>
          <w:szCs w:val="32"/>
        </w:rPr>
        <w:t>要求，凡与社会保障、劳动就业等密切相关的服务事项，都要推行网上受理、网上办理、网上反馈，做到政务服务事项“应上尽上、全程在线”，形成全省政务服务“一张网”。为此，</w:t>
      </w:r>
      <w:r>
        <w:rPr>
          <w:rFonts w:hint="eastAsia" w:ascii="仿宋_GB2312" w:eastAsia="仿宋_GB2312"/>
          <w:spacing w:val="-7"/>
          <w:sz w:val="32"/>
          <w:szCs w:val="32"/>
        </w:rPr>
        <w:t>今年书面审查工作将继续实行网上申报、网上审查。2020年书面审查网址为：http://61.190.31.166:10003/ahqyy_szw/qy/index.jsp</w:t>
      </w:r>
      <w:r>
        <w:rPr>
          <w:rFonts w:hint="eastAsia" w:ascii="仿宋_GB2312" w:eastAsia="仿宋_GB2312"/>
          <w:sz w:val="32"/>
          <w:szCs w:val="32"/>
        </w:rPr>
        <w:t>，由用人单位通过省政务服务网注册登录后，进入单位网上办事大厅，通过劳动保障书面审查系统进行申报审查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ˎ̥" w:eastAsia="黑体" w:cs="宋体"/>
          <w:kern w:val="0"/>
          <w:sz w:val="32"/>
          <w:szCs w:val="32"/>
        </w:rPr>
      </w:pPr>
      <w:r>
        <w:rPr>
          <w:rFonts w:hint="eastAsia" w:ascii="黑体" w:hAnsi="ˎ̥" w:eastAsia="黑体" w:cs="宋体"/>
          <w:kern w:val="0"/>
          <w:sz w:val="32"/>
          <w:szCs w:val="32"/>
        </w:rPr>
        <w:t>二、诚信等级评价工作</w:t>
      </w:r>
    </w:p>
    <w:p>
      <w:pPr>
        <w:pStyle w:val="6"/>
        <w:spacing w:before="0" w:beforeAutospacing="0" w:after="0" w:afterAutospacing="0" w:line="560" w:lineRule="exact"/>
        <w:ind w:hanging="16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按照</w:t>
      </w:r>
      <w:r>
        <w:rPr>
          <w:rFonts w:hint="eastAsia" w:ascii="仿宋_GB2312" w:eastAsia="仿宋_GB2312"/>
          <w:sz w:val="32"/>
          <w:szCs w:val="32"/>
          <w:lang w:val="sq-AL"/>
        </w:rPr>
        <w:t>《安徽省用人单位劳动保障守法诚信等级评价实施办法》（皖人社秘〔2016〕395号），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继续组织开展守法诚信等级评价工作。结合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日常巡视检查、书面材料审查、举报投诉查处、专项检查以及其他有关工作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，对用人单位遵守劳动保障法律法规情况进行综合评价，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按照初步评价、征求意见、社会公示、复核评定等程序进行。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hanging="17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　　</w:t>
      </w:r>
      <w:r>
        <w:rPr>
          <w:rFonts w:hint="eastAsia" w:ascii="楷体_GB2312" w:hAnsi="仿宋_GB2312" w:eastAsia="楷体_GB2312" w:cs="仿宋_GB2312"/>
          <w:b/>
          <w:kern w:val="2"/>
          <w:sz w:val="32"/>
          <w:szCs w:val="32"/>
        </w:rPr>
        <w:t>（一）初步评价。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劳动保障监察机构按照诚信等级评价的内容和标准，对用人单位诚信等级进行初步评价。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2"/>
          <w:sz w:val="32"/>
          <w:szCs w:val="32"/>
        </w:rPr>
        <w:t>（二）征求意见。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劳动保障监察机构征求劳动关系、社会保险经办等相关机构对初步评价结果的意见，相关机构对初步评价结果有异议的，应当组织复查。</w:t>
      </w:r>
    </w:p>
    <w:p>
      <w:pPr>
        <w:pStyle w:val="6"/>
        <w:widowControl w:val="0"/>
        <w:spacing w:before="0" w:beforeAutospacing="0" w:after="0" w:afterAutospacing="0" w:line="560" w:lineRule="exact"/>
        <w:ind w:hanging="17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 xml:space="preserve">    </w:t>
      </w:r>
      <w:r>
        <w:rPr>
          <w:rFonts w:hint="eastAsia" w:ascii="楷体_GB2312" w:hAnsi="仿宋_GB2312" w:eastAsia="楷体_GB2312" w:cs="仿宋_GB2312"/>
          <w:b/>
          <w:kern w:val="2"/>
          <w:sz w:val="32"/>
          <w:szCs w:val="32"/>
        </w:rPr>
        <w:t>（三）社会公示。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对拟评价为Ａ、Ｂ、C级诚信等级的用人单位，</w:t>
      </w:r>
      <w:r>
        <w:rPr>
          <w:rFonts w:hint="eastAsia" w:ascii="仿宋_GB2312" w:hAnsi="仿宋" w:eastAsia="仿宋_GB2312"/>
          <w:sz w:val="32"/>
          <w:szCs w:val="32"/>
        </w:rPr>
        <w:t>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" w:eastAsia="仿宋_GB2312"/>
          <w:sz w:val="32"/>
          <w:szCs w:val="32"/>
        </w:rPr>
        <w:t>人力资源和社会保障行政部门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通过官方网站向社会公示，接受社会监督。</w:t>
      </w:r>
    </w:p>
    <w:p>
      <w:pPr>
        <w:pStyle w:val="6"/>
        <w:widowControl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b/>
          <w:kern w:val="2"/>
          <w:sz w:val="32"/>
          <w:szCs w:val="32"/>
        </w:rPr>
        <w:t>（四）复核评定。</w:t>
      </w:r>
      <w:r>
        <w:rPr>
          <w:rFonts w:hint="eastAsia" w:ascii="仿宋_GB2312" w:hAnsi="仿宋" w:eastAsia="仿宋_GB2312"/>
          <w:sz w:val="32"/>
          <w:szCs w:val="32"/>
        </w:rPr>
        <w:t>县人力资源和社会保障行政部门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根据征求意见和社会公示情况对初审意见进行复评，确定用人单位诚信等级，并告知用人单位诚信等级评定结果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连续三年被评为劳动保障诚信</w:t>
      </w:r>
      <w:r>
        <w:rPr>
          <w:rFonts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级的用人单位中，择优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向省市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推荐“安徽省劳动保障诚信示范单位”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淮南市劳动保障诚信示范单位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参评候选名单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800" w:firstLineChars="250"/>
        <w:rPr>
          <w:rFonts w:ascii="宋体" w:hAnsi="宋体" w:cs="宋体"/>
          <w:kern w:val="0"/>
          <w:szCs w:val="21"/>
        </w:rPr>
      </w:pPr>
      <w:r>
        <w:rPr>
          <w:rFonts w:hint="eastAsia" w:ascii="黑体" w:hAnsi="ˎ̥" w:eastAsia="黑体" w:cs="宋体"/>
          <w:kern w:val="0"/>
          <w:sz w:val="32"/>
          <w:szCs w:val="32"/>
        </w:rPr>
        <w:t>三、工作要求</w:t>
      </w:r>
    </w:p>
    <w:p>
      <w:pPr>
        <w:pStyle w:val="6"/>
        <w:spacing w:before="0" w:beforeAutospacing="0" w:after="0" w:afterAutospacing="0" w:line="560" w:lineRule="exact"/>
        <w:jc w:val="both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加强组织领导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开展劳动保障书面审查和诚信等级评价工作，是提高劳动保障监察效能的有效方式，也是推动人力资源社会保障领域社会信用体系建设的重要举措。</w:t>
      </w: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乡镇人民政府、园区管委会要提高认识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积极组织辖区内用人单位参与年审申报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，确保书面审查和诚信等级评价工作顺利进行。</w:t>
      </w:r>
    </w:p>
    <w:p>
      <w:pPr>
        <w:pStyle w:val="6"/>
        <w:spacing w:before="0" w:beforeAutospacing="0" w:after="0" w:afterAutospacing="0" w:line="580" w:lineRule="exact"/>
        <w:ind w:firstLine="640"/>
        <w:jc w:val="both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（二）注重宣传引导</w:t>
      </w:r>
    </w:p>
    <w:p>
      <w:pPr>
        <w:shd w:val="clear" w:color="auto" w:fill="FFFFFF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要结合书面审查和诚信等级评价工作开展，加大劳动保障法律法规宣传力度，指导用人单位遵守劳动保障法律法规，进一步规范劳动用工管理，不断增强用人单位依法用工意识。</w:t>
      </w:r>
    </w:p>
    <w:p>
      <w:pPr>
        <w:pStyle w:val="6"/>
        <w:snapToGrid w:val="0"/>
        <w:spacing w:before="0" w:beforeAutospacing="0" w:after="0" w:afterAutospacing="0" w:line="58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</w:rPr>
        <w:t>（三）依法严格审查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劳动保障监察部门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要结合《保障农民工工资支付条例》的贯彻实施，将建筑施工企业作为今年书面审查和诚信等级评价的重点，审查和评价结果应抄送相关行业主管部门，实行正向激励和负面惩戒。加强对用人单位网上申报的指导，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按照应审尽审的原则，将各类用人单位纳入书面审查范围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。审查中发现用人单位的违法行为，要做好教育引导，责令限期改正；拒不改正违法行为、拒不接受审查、隐瞒虚报书面审查材料的，要依法立案处理。</w:t>
      </w:r>
    </w:p>
    <w:p>
      <w:pPr>
        <w:pStyle w:val="6"/>
        <w:spacing w:before="0" w:beforeAutospacing="0" w:after="0" w:afterAutospacing="0" w:line="58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</w:rPr>
        <w:t>）</w:t>
      </w:r>
      <w:r>
        <w:rPr>
          <w:rStyle w:val="9"/>
          <w:rFonts w:hint="eastAsia" w:ascii="楷体_GB2312" w:hAnsi="楷体_GB2312" w:eastAsia="楷体_GB2312" w:cs="楷体_GB2312"/>
          <w:bCs w:val="0"/>
          <w:color w:val="333333"/>
          <w:sz w:val="32"/>
          <w:szCs w:val="32"/>
        </w:rPr>
        <w:t>强化结果运用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根据用人单位诚信等级评价情况，对用人单位实行</w:t>
      </w:r>
      <w:r>
        <w:rPr>
          <w:rFonts w:hint="eastAsia" w:ascii="仿宋_GB2312" w:eastAsia="仿宋_GB2312"/>
          <w:sz w:val="32"/>
          <w:szCs w:val="32"/>
        </w:rPr>
        <w:t>分级分类、动态监管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对守法诚信的用人单位，要引导其自我规范；对失信或违法的用人单位，要实行重点检查和监管；对严重失信、侵害劳动者合法权益的用人单位，按规定向社会公布重大违法行为。要将诚信等级评价结果与政策扶持、</w:t>
      </w:r>
      <w:r>
        <w:rPr>
          <w:rFonts w:hint="eastAsia" w:ascii="仿宋_GB2312" w:hAnsi="仿宋_GB2312" w:eastAsia="仿宋_GB2312" w:cs="仿宋_GB2312"/>
          <w:sz w:val="32"/>
          <w:szCs w:val="32"/>
        </w:rPr>
        <w:t>减免工资保证金、招投标、银行贷款、评先评优等挂钩，建立</w:t>
      </w:r>
      <w:r>
        <w:rPr>
          <w:rFonts w:hint="eastAsia" w:ascii="仿宋_GB2312" w:eastAsia="仿宋_GB2312"/>
          <w:sz w:val="32"/>
          <w:szCs w:val="32"/>
        </w:rPr>
        <w:t>健全守信联合激励和失信联合惩戒机制，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切实发挥诚信等级评价结果的实际效用。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 w:ascii="仿宋_GB2312" w:hAnsi="仿宋" w:eastAsia="仿宋_GB2312"/>
          <w:sz w:val="32"/>
          <w:szCs w:val="32"/>
        </w:rPr>
        <w:t>联系电话：0554—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4020293 4028105</w:t>
      </w:r>
    </w:p>
    <w:p>
      <w:pPr>
        <w:ind w:firstLine="480" w:firstLineChars="150"/>
        <w:rPr>
          <w:rFonts w:ascii="仿宋_GB2312" w:hAnsi="仿宋" w:eastAsia="仿宋_GB2312"/>
          <w:sz w:val="32"/>
          <w:szCs w:val="32"/>
        </w:rPr>
      </w:pPr>
    </w:p>
    <w:p>
      <w:pPr>
        <w:tabs>
          <w:tab w:val="left" w:pos="7740"/>
        </w:tabs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tabs>
          <w:tab w:val="left" w:pos="7740"/>
        </w:tabs>
        <w:spacing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寿县</w:t>
      </w:r>
      <w:r>
        <w:rPr>
          <w:rFonts w:ascii="仿宋_GB2312" w:eastAsia="仿宋_GB2312"/>
          <w:sz w:val="32"/>
          <w:szCs w:val="32"/>
        </w:rPr>
        <w:t>人力资源和社会保障局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 xml:space="preserve">                            2020年6月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29日</w:t>
      </w:r>
    </w:p>
    <w:tbl>
      <w:tblPr>
        <w:tblStyle w:val="7"/>
        <w:tblpPr w:leftFromText="180" w:rightFromText="180" w:vertAnchor="text" w:horzAnchor="margin" w:tblpY="17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color w:val="FFFFFF"/>
                <w:sz w:val="32"/>
                <w:szCs w:val="32"/>
              </w:rPr>
              <w:t>务员  考录  方案  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322" w:type="dxa"/>
            <w:tcBorders>
              <w:left w:val="nil"/>
              <w:right w:val="nil"/>
            </w:tcBorders>
            <w:vAlign w:val="center"/>
          </w:tcPr>
          <w:p>
            <w:pPr>
              <w:spacing w:line="600" w:lineRule="exact"/>
              <w:ind w:firstLine="240" w:firstLineChars="10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寿县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人力资源和社会保障局</w:t>
            </w:r>
            <w:r>
              <w:rPr>
                <w:rFonts w:hint="eastAsia" w:ascii="仿宋_GB2312" w:eastAsia="仿宋_GB2312"/>
                <w:spacing w:val="-12"/>
                <w:w w:val="90"/>
                <w:sz w:val="28"/>
                <w:szCs w:val="28"/>
              </w:rPr>
              <w:t xml:space="preserve">                     </w:t>
            </w:r>
            <w:bookmarkStart w:id="0" w:name="strPrintDate"/>
            <w:r>
              <w:rPr>
                <w:rFonts w:hint="eastAsia" w:ascii="仿宋_GB2312" w:eastAsia="仿宋_GB2312"/>
                <w:spacing w:val="-12"/>
                <w:w w:val="9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2020年6月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bookmarkEnd w:id="0"/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印发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758" w:right="1418" w:bottom="1758" w:left="1418" w:header="851" w:footer="1418" w:gutter="0"/>
      <w:pgNumType w:fmt="numberInDash"/>
      <w:cols w:space="720" w:num="1"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51981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8 -</w:t>
        </w:r>
        <w:r>
          <w:fldChar w:fldCharType="end"/>
        </w:r>
      </w:p>
    </w:sdtContent>
  </w:sdt>
  <w:p>
    <w:pPr>
      <w:pStyle w:val="4"/>
      <w:tabs>
        <w:tab w:val="left" w:pos="2955"/>
        <w:tab w:val="clear" w:pos="4153"/>
        <w:tab w:val="clear" w:pos="8306"/>
      </w:tabs>
      <w:ind w:right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CFB"/>
    <w:rsid w:val="00032B88"/>
    <w:rsid w:val="00056A38"/>
    <w:rsid w:val="00080FEF"/>
    <w:rsid w:val="00081553"/>
    <w:rsid w:val="00094387"/>
    <w:rsid w:val="000A2F61"/>
    <w:rsid w:val="000B15B0"/>
    <w:rsid w:val="000D19C8"/>
    <w:rsid w:val="000E0DB7"/>
    <w:rsid w:val="001015A3"/>
    <w:rsid w:val="00102B1B"/>
    <w:rsid w:val="00103ACB"/>
    <w:rsid w:val="0010648F"/>
    <w:rsid w:val="00121883"/>
    <w:rsid w:val="00123CC3"/>
    <w:rsid w:val="001A3000"/>
    <w:rsid w:val="001A37AB"/>
    <w:rsid w:val="001B6F97"/>
    <w:rsid w:val="00222702"/>
    <w:rsid w:val="0023345B"/>
    <w:rsid w:val="00254D9F"/>
    <w:rsid w:val="002639BF"/>
    <w:rsid w:val="00265579"/>
    <w:rsid w:val="00280322"/>
    <w:rsid w:val="002872D8"/>
    <w:rsid w:val="002A094B"/>
    <w:rsid w:val="002A4594"/>
    <w:rsid w:val="002C5600"/>
    <w:rsid w:val="002D0D9C"/>
    <w:rsid w:val="002E0784"/>
    <w:rsid w:val="002F0D51"/>
    <w:rsid w:val="00310229"/>
    <w:rsid w:val="00322A85"/>
    <w:rsid w:val="00335067"/>
    <w:rsid w:val="00353B42"/>
    <w:rsid w:val="00362D81"/>
    <w:rsid w:val="00364731"/>
    <w:rsid w:val="00396546"/>
    <w:rsid w:val="003A0B23"/>
    <w:rsid w:val="003A3BD3"/>
    <w:rsid w:val="004013BD"/>
    <w:rsid w:val="00401D4B"/>
    <w:rsid w:val="00434073"/>
    <w:rsid w:val="004B5CA9"/>
    <w:rsid w:val="004F12E3"/>
    <w:rsid w:val="00526FC9"/>
    <w:rsid w:val="00565EAD"/>
    <w:rsid w:val="00581E2B"/>
    <w:rsid w:val="005A23B9"/>
    <w:rsid w:val="005D42C9"/>
    <w:rsid w:val="005D57FA"/>
    <w:rsid w:val="005D7ED0"/>
    <w:rsid w:val="005E4196"/>
    <w:rsid w:val="005F6898"/>
    <w:rsid w:val="006A01CD"/>
    <w:rsid w:val="006B27F0"/>
    <w:rsid w:val="006B5B4C"/>
    <w:rsid w:val="006C1F82"/>
    <w:rsid w:val="006D1259"/>
    <w:rsid w:val="006F6356"/>
    <w:rsid w:val="007033F1"/>
    <w:rsid w:val="00722B3B"/>
    <w:rsid w:val="00724E1A"/>
    <w:rsid w:val="0075438C"/>
    <w:rsid w:val="00766FBF"/>
    <w:rsid w:val="0078180B"/>
    <w:rsid w:val="007C0BC6"/>
    <w:rsid w:val="007F4AD7"/>
    <w:rsid w:val="0081580E"/>
    <w:rsid w:val="00831391"/>
    <w:rsid w:val="00845BCA"/>
    <w:rsid w:val="00852390"/>
    <w:rsid w:val="00870C0E"/>
    <w:rsid w:val="00875AC7"/>
    <w:rsid w:val="0088034D"/>
    <w:rsid w:val="00890734"/>
    <w:rsid w:val="008C649A"/>
    <w:rsid w:val="008D2C9A"/>
    <w:rsid w:val="00957BBD"/>
    <w:rsid w:val="0096165D"/>
    <w:rsid w:val="00965846"/>
    <w:rsid w:val="009726C9"/>
    <w:rsid w:val="00993CB5"/>
    <w:rsid w:val="009B5E69"/>
    <w:rsid w:val="009D5418"/>
    <w:rsid w:val="009E5760"/>
    <w:rsid w:val="009F606A"/>
    <w:rsid w:val="00A13129"/>
    <w:rsid w:val="00A15BD6"/>
    <w:rsid w:val="00A35FF2"/>
    <w:rsid w:val="00A47062"/>
    <w:rsid w:val="00A507D3"/>
    <w:rsid w:val="00A550DC"/>
    <w:rsid w:val="00AD172F"/>
    <w:rsid w:val="00AD5F5C"/>
    <w:rsid w:val="00AE6A28"/>
    <w:rsid w:val="00B1661C"/>
    <w:rsid w:val="00B42D2D"/>
    <w:rsid w:val="00B42D73"/>
    <w:rsid w:val="00BD04E0"/>
    <w:rsid w:val="00BD06F8"/>
    <w:rsid w:val="00BF0840"/>
    <w:rsid w:val="00C06340"/>
    <w:rsid w:val="00C17052"/>
    <w:rsid w:val="00C8132A"/>
    <w:rsid w:val="00CA1133"/>
    <w:rsid w:val="00CB6EBA"/>
    <w:rsid w:val="00CC126E"/>
    <w:rsid w:val="00CD3731"/>
    <w:rsid w:val="00CE4A14"/>
    <w:rsid w:val="00D110C0"/>
    <w:rsid w:val="00D12CFB"/>
    <w:rsid w:val="00D2650F"/>
    <w:rsid w:val="00D605BB"/>
    <w:rsid w:val="00D81548"/>
    <w:rsid w:val="00D97BC0"/>
    <w:rsid w:val="00DA6416"/>
    <w:rsid w:val="00DD32EF"/>
    <w:rsid w:val="00DE11E8"/>
    <w:rsid w:val="00E02AD5"/>
    <w:rsid w:val="00E25705"/>
    <w:rsid w:val="00E407EA"/>
    <w:rsid w:val="00E62317"/>
    <w:rsid w:val="00EB7017"/>
    <w:rsid w:val="00EB7EB0"/>
    <w:rsid w:val="00EC7FD4"/>
    <w:rsid w:val="00ED4ED4"/>
    <w:rsid w:val="00EE355B"/>
    <w:rsid w:val="00F05E60"/>
    <w:rsid w:val="00F42ABE"/>
    <w:rsid w:val="00F7690B"/>
    <w:rsid w:val="06BA659A"/>
    <w:rsid w:val="10E635EB"/>
    <w:rsid w:val="1FA35417"/>
    <w:rsid w:val="5A49685E"/>
    <w:rsid w:val="70DD4A7D"/>
    <w:rsid w:val="717F3CCB"/>
    <w:rsid w:val="7742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0"/>
    <w:pPr>
      <w:spacing w:line="560" w:lineRule="exact"/>
      <w:ind w:firstLine="600"/>
    </w:pPr>
    <w:rPr>
      <w:rFonts w:ascii="仿宋_GB2312" w:hAnsi="Calibri" w:eastAsia="仿宋_GB2312"/>
      <w:sz w:val="32"/>
      <w:szCs w:val="2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正文文本缩进 Char"/>
    <w:basedOn w:val="8"/>
    <w:link w:val="2"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14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156408-7487-420C-AA2A-AEEED88B91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8</Pages>
  <Words>543</Words>
  <Characters>3096</Characters>
  <Lines>25</Lines>
  <Paragraphs>7</Paragraphs>
  <TotalTime>49</TotalTime>
  <ScaleCrop>false</ScaleCrop>
  <LinksUpToDate>false</LinksUpToDate>
  <CharactersWithSpaces>3632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2019-04-29T08:07:00Z</dcterms:created>
  <dc:creator>崔爱民</dc:creator>
  <cp:lastModifiedBy>wawa</cp:lastModifiedBy>
  <cp:lastPrinted>2020-06-29T00:44:00Z</cp:lastPrinted>
  <dcterms:modified xsi:type="dcterms:W3CDTF">2020-06-30T08:55:19Z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