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outlineLvl w:val="0"/>
        <w:rPr>
          <w:rStyle w:val="5"/>
          <w:rFonts w:hint="eastAsia" w:asciiTheme="majorEastAsia" w:hAnsiTheme="majorEastAsia" w:eastAsiaTheme="majorEastAsia" w:cstheme="majorEastAsia"/>
          <w:b/>
          <w:bCs w:val="0"/>
          <w:i w:val="0"/>
          <w:caps w:val="0"/>
          <w:color w:val="auto"/>
          <w:spacing w:val="0"/>
          <w:sz w:val="40"/>
          <w:szCs w:val="40"/>
          <w:shd w:val="clear" w:fill="FFFFFF"/>
        </w:rPr>
      </w:pPr>
      <w:r>
        <w:rPr>
          <w:rStyle w:val="5"/>
          <w:rFonts w:hint="eastAsia" w:asciiTheme="majorEastAsia" w:hAnsiTheme="majorEastAsia" w:eastAsiaTheme="majorEastAsia" w:cstheme="majorEastAsia"/>
          <w:b/>
          <w:bCs w:val="0"/>
          <w:i w:val="0"/>
          <w:caps w:val="0"/>
          <w:color w:val="auto"/>
          <w:spacing w:val="0"/>
          <w:sz w:val="40"/>
          <w:szCs w:val="40"/>
          <w:shd w:val="clear" w:fill="FFFFFF"/>
        </w:rPr>
        <w:t>寿县</w:t>
      </w:r>
      <w:r>
        <w:rPr>
          <w:rStyle w:val="5"/>
          <w:rFonts w:hint="eastAsia" w:asciiTheme="majorEastAsia" w:hAnsiTheme="majorEastAsia" w:eastAsiaTheme="majorEastAsia" w:cstheme="majorEastAsia"/>
          <w:b/>
          <w:bCs w:val="0"/>
          <w:i w:val="0"/>
          <w:caps w:val="0"/>
          <w:color w:val="auto"/>
          <w:spacing w:val="0"/>
          <w:sz w:val="40"/>
          <w:szCs w:val="40"/>
          <w:shd w:val="clear" w:fill="FFFFFF"/>
          <w:lang w:eastAsia="zh-CN"/>
        </w:rPr>
        <w:t>招商投资促进中心</w:t>
      </w:r>
      <w:r>
        <w:rPr>
          <w:rStyle w:val="5"/>
          <w:rFonts w:hint="eastAsia" w:asciiTheme="majorEastAsia" w:hAnsiTheme="majorEastAsia" w:eastAsiaTheme="majorEastAsia" w:cstheme="majorEastAsia"/>
          <w:b/>
          <w:bCs w:val="0"/>
          <w:i w:val="0"/>
          <w:caps w:val="0"/>
          <w:color w:val="auto"/>
          <w:spacing w:val="0"/>
          <w:sz w:val="40"/>
          <w:szCs w:val="40"/>
          <w:shd w:val="clear" w:fill="FFFFFF"/>
        </w:rPr>
        <w:t>201</w:t>
      </w:r>
      <w:r>
        <w:rPr>
          <w:rStyle w:val="5"/>
          <w:rFonts w:hint="eastAsia" w:asciiTheme="majorEastAsia" w:hAnsiTheme="majorEastAsia" w:eastAsiaTheme="majorEastAsia" w:cstheme="majorEastAsia"/>
          <w:b/>
          <w:bCs w:val="0"/>
          <w:i w:val="0"/>
          <w:caps w:val="0"/>
          <w:color w:val="auto"/>
          <w:spacing w:val="0"/>
          <w:sz w:val="40"/>
          <w:szCs w:val="40"/>
          <w:shd w:val="clear" w:fill="FFFFFF"/>
          <w:lang w:val="en-US" w:eastAsia="zh-CN"/>
        </w:rPr>
        <w:t>9</w:t>
      </w:r>
      <w:r>
        <w:rPr>
          <w:rStyle w:val="5"/>
          <w:rFonts w:hint="eastAsia" w:asciiTheme="majorEastAsia" w:hAnsiTheme="majorEastAsia" w:eastAsiaTheme="majorEastAsia" w:cstheme="majorEastAsia"/>
          <w:b/>
          <w:bCs w:val="0"/>
          <w:i w:val="0"/>
          <w:caps w:val="0"/>
          <w:color w:val="auto"/>
          <w:spacing w:val="0"/>
          <w:sz w:val="40"/>
          <w:szCs w:val="40"/>
          <w:shd w:val="clear" w:fill="FFFFFF"/>
        </w:rPr>
        <w:t>年政务信息公开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outlineLvl w:val="0"/>
        <w:rPr>
          <w:rFonts w:hint="eastAsia" w:asciiTheme="majorEastAsia" w:hAnsiTheme="majorEastAsia" w:eastAsiaTheme="majorEastAsia" w:cstheme="majorEastAsia"/>
          <w:b/>
          <w:bCs w:val="0"/>
          <w:i w:val="0"/>
          <w:caps w:val="0"/>
          <w:color w:val="auto"/>
          <w:spacing w:val="0"/>
          <w:sz w:val="40"/>
          <w:szCs w:val="40"/>
        </w:rPr>
      </w:pPr>
      <w:r>
        <w:rPr>
          <w:rStyle w:val="5"/>
          <w:rFonts w:hint="eastAsia" w:asciiTheme="majorEastAsia" w:hAnsiTheme="majorEastAsia" w:eastAsiaTheme="majorEastAsia" w:cstheme="majorEastAsia"/>
          <w:b/>
          <w:bCs w:val="0"/>
          <w:i w:val="0"/>
          <w:caps w:val="0"/>
          <w:color w:val="auto"/>
          <w:spacing w:val="0"/>
          <w:sz w:val="40"/>
          <w:szCs w:val="40"/>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b/>
          <w:bCs w:val="0"/>
          <w:i w:val="0"/>
          <w:caps w:val="0"/>
          <w:color w:val="3D3D3D"/>
          <w:spacing w:val="0"/>
          <w:sz w:val="24"/>
          <w:szCs w:val="24"/>
          <w:shd w:val="clear" w:fill="FFFFFF"/>
        </w:rPr>
      </w:pPr>
      <w:r>
        <w:rPr>
          <w:rFonts w:hint="eastAsia" w:ascii="微软雅黑" w:hAnsi="微软雅黑" w:eastAsia="微软雅黑" w:cs="微软雅黑"/>
          <w:b/>
          <w:bCs w:val="0"/>
          <w:i w:val="0"/>
          <w:caps w:val="0"/>
          <w:color w:val="3D3D3D"/>
          <w:spacing w:val="0"/>
          <w:sz w:val="24"/>
          <w:szCs w:val="24"/>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lang w:val="en-US" w:eastAsia="zh-CN"/>
        </w:rPr>
        <w:t>2019年，</w:t>
      </w:r>
      <w:r>
        <w:rPr>
          <w:rFonts w:hint="eastAsia" w:ascii="仿宋" w:hAnsi="仿宋" w:eastAsia="仿宋" w:cs="仿宋"/>
          <w:i w:val="0"/>
          <w:caps w:val="0"/>
          <w:color w:val="auto"/>
          <w:spacing w:val="0"/>
          <w:sz w:val="32"/>
          <w:szCs w:val="32"/>
          <w:shd w:val="clear" w:fill="FFFFFF"/>
          <w:lang w:eastAsia="zh-CN"/>
        </w:rPr>
        <w:t>我中心</w:t>
      </w:r>
      <w:r>
        <w:rPr>
          <w:rFonts w:hint="eastAsia" w:ascii="仿宋" w:hAnsi="仿宋" w:eastAsia="仿宋" w:cs="仿宋"/>
          <w:i w:val="0"/>
          <w:caps w:val="0"/>
          <w:color w:val="auto"/>
          <w:spacing w:val="0"/>
          <w:sz w:val="32"/>
          <w:szCs w:val="32"/>
          <w:shd w:val="clear" w:fill="FFFFFF"/>
        </w:rPr>
        <w:t>政府信息公开工作坚持以依法行政、提高效能，建设服务型政府部门为目标，按照“以公开为原则，不公开为例外”的要求，认真贯彻执行《</w:t>
      </w:r>
      <w:r>
        <w:rPr>
          <w:rFonts w:ascii="仿宋" w:hAnsi="仿宋" w:eastAsia="仿宋" w:cs="仿宋"/>
          <w:i w:val="0"/>
          <w:caps w:val="0"/>
          <w:color w:val="auto"/>
          <w:spacing w:val="0"/>
          <w:sz w:val="32"/>
          <w:szCs w:val="32"/>
          <w:shd w:val="clear" w:fill="FFFFFF"/>
        </w:rPr>
        <w:t>中华人民共和国政府信息公开</w:t>
      </w:r>
      <w:r>
        <w:rPr>
          <w:rFonts w:hint="eastAsia" w:ascii="仿宋" w:hAnsi="仿宋" w:eastAsia="仿宋" w:cs="仿宋"/>
          <w:i w:val="0"/>
          <w:caps w:val="0"/>
          <w:color w:val="auto"/>
          <w:spacing w:val="0"/>
          <w:sz w:val="32"/>
          <w:szCs w:val="32"/>
          <w:shd w:val="clear" w:fill="FFFFFF"/>
        </w:rPr>
        <w:t>条例》和县政府有关制度要求。</w:t>
      </w:r>
      <w:r>
        <w:rPr>
          <w:rFonts w:ascii="仿宋" w:hAnsi="仿宋" w:eastAsia="仿宋" w:cs="仿宋"/>
          <w:i w:val="0"/>
          <w:caps w:val="0"/>
          <w:color w:val="auto"/>
          <w:spacing w:val="0"/>
          <w:sz w:val="32"/>
          <w:szCs w:val="32"/>
          <w:shd w:val="clear" w:fill="FFFFFF"/>
        </w:rPr>
        <w:t>本</w:t>
      </w:r>
      <w:r>
        <w:rPr>
          <w:rFonts w:hint="eastAsia" w:ascii="仿宋" w:hAnsi="仿宋" w:eastAsia="仿宋" w:cs="仿宋"/>
          <w:i w:val="0"/>
          <w:caps w:val="0"/>
          <w:color w:val="auto"/>
          <w:spacing w:val="0"/>
          <w:sz w:val="32"/>
          <w:szCs w:val="32"/>
          <w:shd w:val="clear" w:fill="FFFFFF"/>
          <w:lang w:eastAsia="zh-CN"/>
        </w:rPr>
        <w:t>报告</w:t>
      </w:r>
      <w:r>
        <w:rPr>
          <w:rFonts w:ascii="仿宋" w:hAnsi="仿宋" w:eastAsia="仿宋" w:cs="仿宋"/>
          <w:i w:val="0"/>
          <w:caps w:val="0"/>
          <w:color w:val="auto"/>
          <w:spacing w:val="0"/>
          <w:sz w:val="32"/>
          <w:szCs w:val="32"/>
          <w:shd w:val="clear" w:fill="FFFFFF"/>
        </w:rPr>
        <w:t>根据《中华人民共和国政府信息公开条例》（以下简称《条例》）和《安徽省人民政府办公厅关于加强和规范政府信息公开情况统计报送工作的通知》综合本部门的政府信息公开工作报告和有关统计数据而成。</w:t>
      </w:r>
      <w:r>
        <w:rPr>
          <w:rFonts w:hint="eastAsia" w:ascii="仿宋" w:hAnsi="仿宋" w:eastAsia="仿宋" w:cs="仿宋"/>
          <w:i w:val="0"/>
          <w:caps w:val="0"/>
          <w:color w:val="auto"/>
          <w:spacing w:val="0"/>
          <w:sz w:val="32"/>
          <w:szCs w:val="32"/>
          <w:shd w:val="clear" w:fill="FFFFFF"/>
        </w:rPr>
        <w:t>内容涵盖我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2019年1月1日至2019年12月31日期间的政府信息公开工作情况。现将我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2019年政府信息公开年报报告如下：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结合实际，开展政府信息公开工作，调整以</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主要负责人为组长，其他分管领导为成员的政务公开工作领导小组，下设政务公开办公室，负责政务公开日常工作。逐步推进</w:t>
      </w:r>
      <w:r>
        <w:rPr>
          <w:rFonts w:hint="eastAsia" w:ascii="仿宋" w:hAnsi="仿宋" w:eastAsia="仿宋" w:cs="仿宋"/>
          <w:i w:val="0"/>
          <w:caps w:val="0"/>
          <w:color w:val="auto"/>
          <w:spacing w:val="0"/>
          <w:sz w:val="32"/>
          <w:szCs w:val="32"/>
          <w:shd w:val="clear" w:fill="FFFFFF"/>
          <w:lang w:eastAsia="zh-CN"/>
        </w:rPr>
        <w:t>政务</w:t>
      </w:r>
      <w:r>
        <w:rPr>
          <w:rFonts w:hint="eastAsia" w:ascii="仿宋" w:hAnsi="仿宋" w:eastAsia="仿宋" w:cs="仿宋"/>
          <w:i w:val="0"/>
          <w:caps w:val="0"/>
          <w:color w:val="auto"/>
          <w:spacing w:val="0"/>
          <w:sz w:val="32"/>
          <w:szCs w:val="32"/>
          <w:shd w:val="clear" w:fill="FFFFFF"/>
        </w:rPr>
        <w:t>工作公开力度，健全完善政府信息公开制度，进一步深化政府信息公开，保障公众的知情权、参与权和监督权，目前，</w:t>
      </w:r>
      <w:r>
        <w:rPr>
          <w:rFonts w:hint="eastAsia" w:ascii="仿宋" w:hAnsi="仿宋" w:eastAsia="仿宋" w:cs="仿宋"/>
          <w:i w:val="0"/>
          <w:caps w:val="0"/>
          <w:color w:val="auto"/>
          <w:spacing w:val="0"/>
          <w:sz w:val="32"/>
          <w:szCs w:val="32"/>
          <w:shd w:val="clear" w:fill="FFFFFF"/>
          <w:lang w:eastAsia="zh-CN"/>
        </w:rPr>
        <w:t>我中心</w:t>
      </w:r>
      <w:r>
        <w:rPr>
          <w:rFonts w:hint="eastAsia" w:ascii="仿宋" w:hAnsi="仿宋" w:eastAsia="仿宋" w:cs="仿宋"/>
          <w:i w:val="0"/>
          <w:caps w:val="0"/>
          <w:color w:val="auto"/>
          <w:spacing w:val="0"/>
          <w:sz w:val="32"/>
          <w:szCs w:val="32"/>
          <w:shd w:val="clear" w:fill="FFFFFF"/>
        </w:rPr>
        <w:t>政务信息公开工作运行正常。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rPr>
          <w:rFonts w:hint="eastAsia" w:ascii="仿宋" w:hAnsi="仿宋" w:eastAsia="仿宋" w:cs="仿宋"/>
          <w:b/>
          <w:bCs/>
          <w:i w:val="0"/>
          <w:caps w:val="0"/>
          <w:color w:val="auto"/>
          <w:spacing w:val="0"/>
          <w:sz w:val="32"/>
          <w:szCs w:val="32"/>
          <w:lang w:eastAsia="zh-CN"/>
        </w:rPr>
      </w:pPr>
      <w:r>
        <w:rPr>
          <w:rFonts w:hint="eastAsia" w:ascii="仿宋" w:hAnsi="仿宋" w:eastAsia="仿宋" w:cs="仿宋"/>
          <w:b/>
          <w:bCs/>
          <w:i w:val="0"/>
          <w:caps w:val="0"/>
          <w:color w:val="auto"/>
          <w:spacing w:val="0"/>
          <w:sz w:val="32"/>
          <w:szCs w:val="32"/>
          <w:shd w:val="clear" w:fill="FFFFFF"/>
        </w:rPr>
        <w:t>一、政府信息公开工作概况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8" w:lineRule="atLeast"/>
        <w:ind w:right="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sz w:val="32"/>
          <w:szCs w:val="32"/>
          <w:shd w:val="clear" w:fill="FFFFFF"/>
        </w:rPr>
        <w:t>加强组织领导</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严格制度落实。年初召开政务公开工作部署大会，要求全体干部增强做好政务公开工作的责任心和紧迫感，积极投身政务公开活动，为推行政务公开谋思路、添措施。为社会</w:t>
      </w:r>
      <w:r>
        <w:rPr>
          <w:rFonts w:hint="eastAsia" w:ascii="仿宋" w:hAnsi="仿宋" w:eastAsia="仿宋" w:cs="仿宋"/>
          <w:i w:val="0"/>
          <w:caps w:val="0"/>
          <w:color w:val="auto"/>
          <w:spacing w:val="0"/>
          <w:sz w:val="32"/>
          <w:szCs w:val="32"/>
          <w:shd w:val="clear" w:fill="FFFFFF"/>
          <w:lang w:eastAsia="zh-CN"/>
        </w:rPr>
        <w:t>为来我县投资的企业</w:t>
      </w:r>
      <w:r>
        <w:rPr>
          <w:rFonts w:hint="eastAsia" w:ascii="仿宋" w:hAnsi="仿宋" w:eastAsia="仿宋" w:cs="仿宋"/>
          <w:i w:val="0"/>
          <w:caps w:val="0"/>
          <w:color w:val="auto"/>
          <w:spacing w:val="0"/>
          <w:sz w:val="32"/>
          <w:szCs w:val="32"/>
          <w:shd w:val="clear" w:fill="FFFFFF"/>
        </w:rPr>
        <w:t>提供高效优质</w:t>
      </w:r>
      <w:r>
        <w:rPr>
          <w:rFonts w:hint="eastAsia" w:ascii="仿宋" w:hAnsi="仿宋" w:eastAsia="仿宋" w:cs="仿宋"/>
          <w:i w:val="0"/>
          <w:caps w:val="0"/>
          <w:color w:val="auto"/>
          <w:spacing w:val="0"/>
          <w:sz w:val="32"/>
          <w:szCs w:val="32"/>
          <w:shd w:val="clear" w:fill="FFFFFF"/>
          <w:lang w:eastAsia="zh-CN"/>
        </w:rPr>
        <w:t>的</w:t>
      </w:r>
      <w:r>
        <w:rPr>
          <w:rFonts w:hint="eastAsia" w:ascii="仿宋" w:hAnsi="仿宋" w:eastAsia="仿宋" w:cs="仿宋"/>
          <w:i w:val="0"/>
          <w:caps w:val="0"/>
          <w:color w:val="auto"/>
          <w:spacing w:val="0"/>
          <w:kern w:val="0"/>
          <w:sz w:val="32"/>
          <w:szCs w:val="32"/>
          <w:shd w:val="clear" w:fill="FFFFFF"/>
          <w:lang w:val="en-US" w:eastAsia="zh-CN" w:bidi="ar"/>
        </w:rPr>
        <w:t>环境考察、信息咨询、政策解答的全过程服务。</w:t>
      </w:r>
      <w:r>
        <w:rPr>
          <w:rFonts w:hint="eastAsia" w:ascii="仿宋" w:hAnsi="仿宋" w:eastAsia="仿宋" w:cs="仿宋"/>
          <w:color w:val="auto"/>
          <w:sz w:val="32"/>
          <w:szCs w:val="32"/>
          <w:lang w:eastAsia="zh-CN"/>
        </w:rPr>
        <w:drawing>
          <wp:inline distT="0" distB="0" distL="114300" distR="114300">
            <wp:extent cx="5274310" cy="3498850"/>
            <wp:effectExtent l="0" t="0" r="2540" b="6350"/>
            <wp:docPr id="7" name="图片 7" descr="IMG_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7683"/>
                    <pic:cNvPicPr>
                      <a:picLocks noChangeAspect="1"/>
                    </pic:cNvPicPr>
                  </pic:nvPicPr>
                  <pic:blipFill>
                    <a:blip r:embed="rId4"/>
                    <a:stretch>
                      <a:fillRect/>
                    </a:stretch>
                  </pic:blipFill>
                  <pic:spPr>
                    <a:xfrm>
                      <a:off x="0" y="0"/>
                      <a:ext cx="5274310" cy="349885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8" w:lineRule="atLeast"/>
        <w:ind w:right="0" w:firstLine="640" w:firstLineChars="200"/>
        <w:jc w:val="left"/>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sz w:val="32"/>
          <w:szCs w:val="32"/>
          <w:shd w:val="clear" w:fill="FFFFFF"/>
          <w:lang w:eastAsia="zh-CN"/>
        </w:rPr>
        <w:t>（寿县招商投资促进中心</w:t>
      </w:r>
      <w:r>
        <w:rPr>
          <w:rFonts w:hint="eastAsia" w:ascii="仿宋" w:hAnsi="仿宋" w:eastAsia="仿宋" w:cs="仿宋"/>
          <w:i w:val="0"/>
          <w:caps w:val="0"/>
          <w:color w:val="auto"/>
          <w:spacing w:val="0"/>
          <w:sz w:val="32"/>
          <w:szCs w:val="32"/>
          <w:shd w:val="clear" w:fill="FFFFFF"/>
        </w:rPr>
        <w:t>召开政务公开工作部署大会</w:t>
      </w:r>
      <w:r>
        <w:rPr>
          <w:rFonts w:hint="eastAsia" w:ascii="仿宋" w:hAnsi="仿宋" w:eastAsia="仿宋" w:cs="仿宋"/>
          <w:i w:val="0"/>
          <w:caps w:val="0"/>
          <w:color w:val="auto"/>
          <w:spacing w:val="0"/>
          <w:sz w:val="32"/>
          <w:szCs w:val="32"/>
          <w:shd w:val="clear"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8" w:lineRule="atLeast"/>
        <w:ind w:right="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drawing>
          <wp:inline distT="0" distB="0" distL="114300" distR="114300">
            <wp:extent cx="5274310" cy="3328035"/>
            <wp:effectExtent l="0" t="0" r="2540" b="5715"/>
            <wp:docPr id="1" name="图片 1" descr="IMG_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8741"/>
                    <pic:cNvPicPr>
                      <a:picLocks noChangeAspect="1"/>
                    </pic:cNvPicPr>
                  </pic:nvPicPr>
                  <pic:blipFill>
                    <a:blip r:embed="rId5"/>
                    <a:stretch>
                      <a:fillRect/>
                    </a:stretch>
                  </pic:blipFill>
                  <pic:spPr>
                    <a:xfrm>
                      <a:off x="0" y="0"/>
                      <a:ext cx="5274310" cy="332803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00" w:firstLineChars="200"/>
        <w:jc w:val="center"/>
        <w:outlineLvl w:val="0"/>
        <w:rPr>
          <w:rFonts w:hint="eastAsia" w:ascii="仿宋" w:hAnsi="仿宋" w:eastAsia="仿宋" w:cs="仿宋"/>
          <w:i w:val="0"/>
          <w:caps w:val="0"/>
          <w:color w:val="auto"/>
          <w:spacing w:val="0"/>
          <w:sz w:val="30"/>
          <w:szCs w:val="30"/>
          <w:shd w:val="clear" w:fill="FFFFFF"/>
          <w:lang w:eastAsia="zh-CN"/>
        </w:rPr>
      </w:pPr>
      <w:r>
        <w:rPr>
          <w:rFonts w:hint="eastAsia" w:ascii="仿宋" w:hAnsi="仿宋" w:eastAsia="仿宋" w:cs="仿宋"/>
          <w:i w:val="0"/>
          <w:caps w:val="0"/>
          <w:color w:val="auto"/>
          <w:spacing w:val="0"/>
          <w:sz w:val="30"/>
          <w:szCs w:val="30"/>
          <w:shd w:val="clear" w:fill="FFFFFF"/>
        </w:rPr>
        <w:t>（寿县</w:t>
      </w:r>
      <w:r>
        <w:rPr>
          <w:rFonts w:hint="eastAsia" w:ascii="仿宋" w:hAnsi="仿宋" w:eastAsia="仿宋" w:cs="仿宋"/>
          <w:i w:val="0"/>
          <w:caps w:val="0"/>
          <w:color w:val="auto"/>
          <w:spacing w:val="0"/>
          <w:sz w:val="30"/>
          <w:szCs w:val="30"/>
          <w:shd w:val="clear" w:fill="FFFFFF"/>
          <w:lang w:eastAsia="zh-CN"/>
        </w:rPr>
        <w:t>招商中心</w:t>
      </w:r>
      <w:r>
        <w:rPr>
          <w:rFonts w:hint="eastAsia" w:ascii="仿宋" w:hAnsi="仿宋" w:eastAsia="仿宋" w:cs="仿宋"/>
          <w:i w:val="0"/>
          <w:caps w:val="0"/>
          <w:color w:val="auto"/>
          <w:spacing w:val="0"/>
          <w:sz w:val="30"/>
          <w:szCs w:val="30"/>
          <w:shd w:val="clear" w:fill="FFFFFF"/>
        </w:rPr>
        <w:t>召开政府信息公开业务学习培训）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仿宋" w:hAnsi="仿宋" w:eastAsia="仿宋" w:cs="仿宋"/>
          <w:i w:val="0"/>
          <w:caps w:val="0"/>
          <w:color w:val="auto"/>
          <w:spacing w:val="0"/>
          <w:sz w:val="32"/>
          <w:szCs w:val="32"/>
          <w:shd w:val="clear" w:fill="FFFFFF"/>
        </w:rPr>
      </w:pPr>
      <w:r>
        <w:rPr>
          <w:rFonts w:hint="eastAsia" w:ascii="仿宋" w:hAnsi="仿宋" w:eastAsia="仿宋" w:cs="仿宋"/>
          <w:b/>
          <w:bCs/>
          <w:i w:val="0"/>
          <w:caps w:val="0"/>
          <w:color w:val="auto"/>
          <w:spacing w:val="0"/>
          <w:sz w:val="32"/>
          <w:szCs w:val="32"/>
          <w:shd w:val="clear" w:fill="FFFFFF"/>
        </w:rPr>
        <w:t>主动公开政府信息情况</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按照政府信息公开的相关要求，</w:t>
      </w:r>
      <w:r>
        <w:rPr>
          <w:rFonts w:hint="eastAsia" w:ascii="仿宋" w:hAnsi="仿宋" w:eastAsia="仿宋" w:cs="仿宋"/>
          <w:i w:val="0"/>
          <w:caps w:val="0"/>
          <w:color w:val="auto"/>
          <w:spacing w:val="0"/>
          <w:sz w:val="32"/>
          <w:szCs w:val="32"/>
          <w:shd w:val="clear" w:fill="FFFFFF"/>
          <w:lang w:eastAsia="zh-CN"/>
        </w:rPr>
        <w:t>我中心</w:t>
      </w:r>
      <w:r>
        <w:rPr>
          <w:rFonts w:hint="eastAsia" w:ascii="仿宋" w:hAnsi="仿宋" w:eastAsia="仿宋" w:cs="仿宋"/>
          <w:i w:val="0"/>
          <w:caps w:val="0"/>
          <w:color w:val="auto"/>
          <w:spacing w:val="0"/>
          <w:sz w:val="32"/>
          <w:szCs w:val="32"/>
          <w:shd w:val="clear" w:fill="FFFFFF"/>
        </w:rPr>
        <w:t>政府网站信息公开领导小组办公室要求各相关</w:t>
      </w:r>
      <w:r>
        <w:rPr>
          <w:rFonts w:hint="eastAsia" w:ascii="仿宋" w:hAnsi="仿宋" w:eastAsia="仿宋" w:cs="仿宋"/>
          <w:i w:val="0"/>
          <w:caps w:val="0"/>
          <w:color w:val="auto"/>
          <w:spacing w:val="0"/>
          <w:sz w:val="32"/>
          <w:szCs w:val="32"/>
          <w:shd w:val="clear" w:fill="FFFFFF"/>
          <w:lang w:eastAsia="zh-CN"/>
        </w:rPr>
        <w:t>股</w:t>
      </w:r>
      <w:r>
        <w:rPr>
          <w:rFonts w:hint="eastAsia" w:ascii="仿宋" w:hAnsi="仿宋" w:eastAsia="仿宋" w:cs="仿宋"/>
          <w:i w:val="0"/>
          <w:caps w:val="0"/>
          <w:color w:val="auto"/>
          <w:spacing w:val="0"/>
          <w:sz w:val="32"/>
          <w:szCs w:val="32"/>
          <w:shd w:val="clear" w:fill="FFFFFF"/>
        </w:rPr>
        <w:t>室通过定期和不定期的方式，报送信息公开的相关内容，按照目录、体裁和主题词分类，对信息公开的内容进行更新</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全年网站信息公开</w:t>
      </w:r>
      <w:r>
        <w:rPr>
          <w:rFonts w:hint="eastAsia" w:ascii="仿宋" w:hAnsi="仿宋" w:eastAsia="仿宋" w:cs="仿宋"/>
          <w:i w:val="0"/>
          <w:caps w:val="0"/>
          <w:color w:val="auto"/>
          <w:spacing w:val="0"/>
          <w:sz w:val="32"/>
          <w:szCs w:val="32"/>
          <w:shd w:val="clear" w:fill="FFFFFF"/>
          <w:lang w:val="en-US" w:eastAsia="zh-CN"/>
        </w:rPr>
        <w:t>324</w:t>
      </w:r>
      <w:r>
        <w:rPr>
          <w:rFonts w:hint="eastAsia" w:ascii="仿宋" w:hAnsi="仿宋" w:eastAsia="仿宋" w:cs="仿宋"/>
          <w:i w:val="0"/>
          <w:caps w:val="0"/>
          <w:color w:val="auto"/>
          <w:spacing w:val="0"/>
          <w:sz w:val="32"/>
          <w:szCs w:val="32"/>
          <w:shd w:val="clear" w:fill="FFFFFF"/>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drawing>
          <wp:inline distT="0" distB="0" distL="114300" distR="114300">
            <wp:extent cx="5264785" cy="2552065"/>
            <wp:effectExtent l="0" t="0" r="12065" b="635"/>
            <wp:docPr id="2" name="图片 2" descr="JN([$YV]MTLL[CXZ6YVY8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N([$YV]MTLL[CXZ6YVY8CS"/>
                    <pic:cNvPicPr>
                      <a:picLocks noChangeAspect="1"/>
                    </pic:cNvPicPr>
                  </pic:nvPicPr>
                  <pic:blipFill>
                    <a:blip r:embed="rId6"/>
                    <a:stretch>
                      <a:fillRect/>
                    </a:stretch>
                  </pic:blipFill>
                  <pic:spPr>
                    <a:xfrm>
                      <a:off x="0" y="0"/>
                      <a:ext cx="5264785" cy="2552065"/>
                    </a:xfrm>
                    <a:prstGeom prst="rect">
                      <a:avLst/>
                    </a:prstGeom>
                  </pic:spPr>
                </pic:pic>
              </a:graphicData>
            </a:graphic>
          </wp:inline>
        </w:drawing>
      </w:r>
      <w:r>
        <w:rPr>
          <w:rFonts w:hint="eastAsia" w:ascii="仿宋" w:hAnsi="仿宋" w:eastAsia="仿宋" w:cs="仿宋"/>
          <w:i w:val="0"/>
          <w:caps w:val="0"/>
          <w:color w:val="auto"/>
          <w:spacing w:val="0"/>
          <w:sz w:val="32"/>
          <w:szCs w:val="32"/>
          <w:shd w:val="clear" w:fill="FFFFFF"/>
        </w:rPr>
        <w:drawing>
          <wp:inline distT="0" distB="0" distL="114300" distR="114300">
            <wp:extent cx="5094605" cy="2940685"/>
            <wp:effectExtent l="0" t="0" r="10795" b="12065"/>
            <wp:docPr id="4" name="图片 4" descr="4ILX3P~}NTSK]P{OY3{(G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ILX3P~}NTSK]P{OY3{(GYK"/>
                    <pic:cNvPicPr>
                      <a:picLocks noChangeAspect="1"/>
                    </pic:cNvPicPr>
                  </pic:nvPicPr>
                  <pic:blipFill>
                    <a:blip r:embed="rId7"/>
                    <a:stretch>
                      <a:fillRect/>
                    </a:stretch>
                  </pic:blipFill>
                  <pic:spPr>
                    <a:xfrm>
                      <a:off x="0" y="0"/>
                      <a:ext cx="5094605" cy="2940685"/>
                    </a:xfrm>
                    <a:prstGeom prst="rect">
                      <a:avLst/>
                    </a:prstGeom>
                  </pic:spPr>
                </pic:pic>
              </a:graphicData>
            </a:graphic>
          </wp:inline>
        </w:drawing>
      </w:r>
      <w:r>
        <w:rPr>
          <w:rFonts w:hint="eastAsia" w:ascii="仿宋" w:hAnsi="仿宋" w:eastAsia="仿宋" w:cs="仿宋"/>
          <w:i w:val="0"/>
          <w:caps w:val="0"/>
          <w:color w:val="auto"/>
          <w:spacing w:val="0"/>
          <w:sz w:val="32"/>
          <w:szCs w:val="32"/>
          <w:shd w:val="clear" w:fill="FFFFFF"/>
        </w:rPr>
        <w:drawing>
          <wp:inline distT="0" distB="0" distL="114300" distR="114300">
            <wp:extent cx="5271770" cy="3927475"/>
            <wp:effectExtent l="0" t="0" r="5080" b="15875"/>
            <wp:docPr id="5" name="图片 5" descr="GTQ~E]T(Q7HR_102A`ISB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TQ~E]T(Q7HR_102A`ISBWM"/>
                    <pic:cNvPicPr>
                      <a:picLocks noChangeAspect="1"/>
                    </pic:cNvPicPr>
                  </pic:nvPicPr>
                  <pic:blipFill>
                    <a:blip r:embed="rId8"/>
                    <a:stretch>
                      <a:fillRect/>
                    </a:stretch>
                  </pic:blipFill>
                  <pic:spPr>
                    <a:xfrm>
                      <a:off x="0" y="0"/>
                      <a:ext cx="5271770" cy="3927475"/>
                    </a:xfrm>
                    <a:prstGeom prst="rect">
                      <a:avLst/>
                    </a:prstGeom>
                  </pic:spPr>
                </pic:pic>
              </a:graphicData>
            </a:graphic>
          </wp:inline>
        </w:drawing>
      </w:r>
      <w:r>
        <w:rPr>
          <w:rFonts w:hint="eastAsia" w:ascii="仿宋" w:hAnsi="仿宋" w:eastAsia="仿宋" w:cs="仿宋"/>
          <w:i w:val="0"/>
          <w:caps w:val="0"/>
          <w:color w:val="auto"/>
          <w:spacing w:val="0"/>
          <w:sz w:val="32"/>
          <w:szCs w:val="32"/>
          <w:shd w:val="clear" w:fill="FFFFFF"/>
        </w:rPr>
        <w:drawing>
          <wp:inline distT="0" distB="0" distL="114300" distR="114300">
            <wp:extent cx="5273040" cy="3854450"/>
            <wp:effectExtent l="0" t="0" r="3810" b="12700"/>
            <wp:docPr id="6" name="图片 6" descr="Q}F10X67)`{1W3IUHTAA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F10X67)`{1W3IUHTAAW(B"/>
                    <pic:cNvPicPr>
                      <a:picLocks noChangeAspect="1"/>
                    </pic:cNvPicPr>
                  </pic:nvPicPr>
                  <pic:blipFill>
                    <a:blip r:embed="rId9"/>
                    <a:stretch>
                      <a:fillRect/>
                    </a:stretch>
                  </pic:blipFill>
                  <pic:spPr>
                    <a:xfrm>
                      <a:off x="0" y="0"/>
                      <a:ext cx="5273040" cy="385445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 w:hAnsi="仿宋" w:eastAsia="仿宋" w:cs="仿宋"/>
          <w:i w:val="0"/>
          <w:caps w:val="0"/>
          <w:color w:val="auto"/>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 w:hAnsi="仿宋" w:eastAsia="仿宋" w:cs="仿宋"/>
          <w:i w:val="0"/>
          <w:caps w:val="0"/>
          <w:color w:val="auto"/>
          <w:spacing w:val="0"/>
          <w:sz w:val="32"/>
          <w:szCs w:val="32"/>
          <w:shd w:val="clear" w:fill="FFFFFF"/>
        </w:rPr>
      </w:pPr>
    </w:p>
    <w:tbl>
      <w:tblPr>
        <w:tblStyle w:val="3"/>
        <w:tblW w:w="9310" w:type="dxa"/>
        <w:tblInd w:w="132" w:type="dxa"/>
        <w:shd w:val="clear" w:color="auto" w:fill="auto"/>
        <w:tblLayout w:type="fixed"/>
        <w:tblCellMar>
          <w:top w:w="0" w:type="dxa"/>
          <w:left w:w="0" w:type="dxa"/>
          <w:bottom w:w="0" w:type="dxa"/>
          <w:right w:w="0" w:type="dxa"/>
        </w:tblCellMar>
      </w:tblPr>
      <w:tblGrid>
        <w:gridCol w:w="3723"/>
        <w:gridCol w:w="2369"/>
        <w:gridCol w:w="1533"/>
        <w:gridCol w:w="1685"/>
      </w:tblGrid>
      <w:tr>
        <w:tblPrEx>
          <w:shd w:val="clear" w:color="auto" w:fill="auto"/>
          <w:tblLayout w:type="fixed"/>
          <w:tblCellMar>
            <w:top w:w="0" w:type="dxa"/>
            <w:left w:w="0" w:type="dxa"/>
            <w:bottom w:w="0" w:type="dxa"/>
            <w:right w:w="0" w:type="dxa"/>
          </w:tblCellMar>
        </w:tblPrEx>
        <w:trPr>
          <w:trHeight w:val="495" w:hRule="atLeast"/>
        </w:trPr>
        <w:tc>
          <w:tcPr>
            <w:tcW w:w="931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第二十条第（一）项</w:t>
            </w:r>
          </w:p>
        </w:tc>
      </w:tr>
      <w:tr>
        <w:tblPrEx>
          <w:tblLayout w:type="fixed"/>
          <w:tblCellMar>
            <w:top w:w="0" w:type="dxa"/>
            <w:left w:w="0" w:type="dxa"/>
            <w:bottom w:w="0" w:type="dxa"/>
            <w:right w:w="0" w:type="dxa"/>
          </w:tblCellMar>
        </w:tblPrEx>
        <w:trPr>
          <w:trHeight w:val="882"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本年新</w:t>
            </w:r>
            <w:r>
              <w:rPr>
                <w:rFonts w:hint="eastAsia" w:ascii="宋体" w:hAnsi="宋体" w:eastAsia="宋体" w:cs="宋体"/>
                <w:sz w:val="20"/>
                <w:szCs w:val="20"/>
              </w:rPr>
              <w:br w:type="textWrapping"/>
            </w:r>
            <w:r>
              <w:rPr>
                <w:rFonts w:hint="eastAsia" w:ascii="宋体" w:hAnsi="宋体" w:eastAsia="宋体" w:cs="宋体"/>
                <w:sz w:val="20"/>
                <w:szCs w:val="20"/>
              </w:rPr>
              <w:t>制作数量</w:t>
            </w:r>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本年新</w:t>
            </w:r>
            <w:r>
              <w:rPr>
                <w:rFonts w:hint="eastAsia" w:ascii="宋体" w:hAnsi="宋体" w:eastAsia="宋体" w:cs="宋体"/>
                <w:sz w:val="20"/>
                <w:szCs w:val="20"/>
              </w:rPr>
              <w:br w:type="textWrapping"/>
            </w:r>
            <w:r>
              <w:rPr>
                <w:rFonts w:hint="eastAsia" w:ascii="宋体" w:hAnsi="宋体" w:eastAsia="宋体" w:cs="宋体"/>
                <w:sz w:val="20"/>
                <w:szCs w:val="20"/>
              </w:rPr>
              <w:t>公开数量</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对外公开总数量</w:t>
            </w:r>
          </w:p>
        </w:tc>
      </w:tr>
      <w:tr>
        <w:tblPrEx>
          <w:tblLayout w:type="fixed"/>
          <w:tblCellMar>
            <w:top w:w="0" w:type="dxa"/>
            <w:left w:w="0" w:type="dxa"/>
            <w:bottom w:w="0" w:type="dxa"/>
            <w:right w:w="0" w:type="dxa"/>
          </w:tblCellMar>
        </w:tblPrEx>
        <w:trPr>
          <w:trHeight w:val="523"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规章</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lang w:val="en-US" w:eastAsia="zh-CN"/>
              </w:rPr>
              <w:t>0</w:t>
            </w:r>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lang w:val="en-US" w:eastAsia="zh-CN"/>
              </w:rPr>
              <w:t>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eastAsia" w:ascii="Times New Roman" w:hAnsi="Times New Roman" w:eastAsia="宋体" w:cs="Times New Roman"/>
                <w:sz w:val="21"/>
                <w:szCs w:val="21"/>
                <w:lang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0</w:t>
            </w:r>
          </w:p>
        </w:tc>
      </w:tr>
      <w:tr>
        <w:tblPrEx>
          <w:tblLayout w:type="fixed"/>
          <w:tblCellMar>
            <w:top w:w="0" w:type="dxa"/>
            <w:left w:w="0" w:type="dxa"/>
            <w:bottom w:w="0" w:type="dxa"/>
            <w:right w:w="0" w:type="dxa"/>
          </w:tblCellMar>
        </w:tblPrEx>
        <w:trPr>
          <w:trHeight w:val="471"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规范性文件</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960" w:firstLineChars="400"/>
              <w:jc w:val="both"/>
              <w:rPr>
                <w:rFonts w:hint="eastAsia" w:ascii="Times New Roman" w:hAnsi="Times New Roman" w:eastAsia="宋体" w:cs="Times New Roman"/>
                <w:sz w:val="21"/>
                <w:szCs w:val="21"/>
                <w:lang w:eastAsia="zh-CN"/>
              </w:rPr>
            </w:pPr>
            <w:r>
              <w:rPr>
                <w:rFonts w:hint="eastAsia" w:ascii="宋体" w:hAnsi="宋体" w:eastAsia="宋体" w:cs="宋体"/>
                <w:sz w:val="24"/>
                <w:szCs w:val="24"/>
                <w:lang w:val="en-US" w:eastAsia="zh-CN"/>
              </w:rPr>
              <w:t>3</w:t>
            </w:r>
            <w:bookmarkStart w:id="0" w:name="_GoBack"/>
            <w:bookmarkEnd w:id="0"/>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eastAsia" w:ascii="Times New Roman" w:hAnsi="Times New Roman" w:eastAsia="宋体" w:cs="Times New Roman"/>
                <w:sz w:val="21"/>
                <w:szCs w:val="21"/>
                <w:lang w:eastAsia="zh-CN"/>
              </w:rPr>
            </w:pPr>
            <w:r>
              <w:rPr>
                <w:rFonts w:hint="eastAsia" w:ascii="宋体" w:hAnsi="宋体" w:eastAsia="宋体" w:cs="宋体"/>
                <w:sz w:val="24"/>
                <w:szCs w:val="24"/>
                <w:lang w:val="en-US" w:eastAsia="zh-CN"/>
              </w:rPr>
              <w:t>3</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eastAsia" w:ascii="Times New Roman" w:hAnsi="Times New Roman" w:cs="Times New Roman" w:eastAsiaTheme="minorEastAsia"/>
                <w:sz w:val="21"/>
                <w:szCs w:val="21"/>
                <w:lang w:eastAsia="zh-CN"/>
              </w:rPr>
            </w:pPr>
            <w:r>
              <w:rPr>
                <w:rFonts w:hint="eastAsia" w:ascii="宋体" w:hAnsi="宋体" w:eastAsia="宋体" w:cs="宋体"/>
                <w:sz w:val="24"/>
                <w:szCs w:val="24"/>
                <w:lang w:val="en-US" w:eastAsia="zh-CN"/>
              </w:rPr>
              <w:t>3</w:t>
            </w:r>
          </w:p>
        </w:tc>
      </w:tr>
      <w:tr>
        <w:tblPrEx>
          <w:tblLayout w:type="fixed"/>
          <w:tblCellMar>
            <w:top w:w="0" w:type="dxa"/>
            <w:left w:w="0" w:type="dxa"/>
            <w:bottom w:w="0" w:type="dxa"/>
            <w:right w:w="0" w:type="dxa"/>
          </w:tblCellMar>
        </w:tblPrEx>
        <w:trPr>
          <w:trHeight w:val="480"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第二十条第（五）项</w:t>
            </w:r>
          </w:p>
        </w:tc>
      </w:tr>
      <w:tr>
        <w:tblPrEx>
          <w:tblLayout w:type="fixed"/>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上一年项目数量</w:t>
            </w:r>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本年增/减</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处理决定数量</w:t>
            </w:r>
          </w:p>
        </w:tc>
      </w:tr>
      <w:tr>
        <w:tblPrEx>
          <w:tblLayout w:type="fixed"/>
          <w:tblCellMar>
            <w:top w:w="0" w:type="dxa"/>
            <w:left w:w="0" w:type="dxa"/>
            <w:bottom w:w="0" w:type="dxa"/>
            <w:right w:w="0" w:type="dxa"/>
          </w:tblCellMar>
        </w:tblPrEx>
        <w:trPr>
          <w:trHeight w:val="528"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行政许可</w:t>
            </w:r>
          </w:p>
        </w:tc>
        <w:tc>
          <w:tcPr>
            <w:tcW w:w="2369" w:type="dxa"/>
            <w:tcBorders>
              <w:top w:val="nil"/>
              <w:left w:val="nil"/>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0 </w:t>
            </w:r>
          </w:p>
        </w:tc>
      </w:tr>
      <w:tr>
        <w:tblPrEx>
          <w:tblLayout w:type="fixed"/>
          <w:tblCellMar>
            <w:top w:w="0" w:type="dxa"/>
            <w:left w:w="0" w:type="dxa"/>
            <w:bottom w:w="0" w:type="dxa"/>
            <w:right w:w="0" w:type="dxa"/>
          </w:tblCellMar>
        </w:tblPrEx>
        <w:trPr>
          <w:trHeight w:val="550"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其他对外管理服务事项（除行政许可外的其他行政权力）</w:t>
            </w:r>
          </w:p>
        </w:tc>
        <w:tc>
          <w:tcPr>
            <w:tcW w:w="2369" w:type="dxa"/>
            <w:tcBorders>
              <w:top w:val="nil"/>
              <w:left w:val="nil"/>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0 </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r>
      <w:tr>
        <w:tblPrEx>
          <w:tblLayout w:type="fixed"/>
          <w:tblCellMar>
            <w:top w:w="0" w:type="dxa"/>
            <w:left w:w="0" w:type="dxa"/>
            <w:bottom w:w="0" w:type="dxa"/>
            <w:right w:w="0" w:type="dxa"/>
          </w:tblCellMar>
        </w:tblPrEx>
        <w:trPr>
          <w:trHeight w:val="40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第二十条第（六）项</w:t>
            </w:r>
          </w:p>
        </w:tc>
      </w:tr>
      <w:tr>
        <w:tblPrEx>
          <w:tblLayout w:type="fixed"/>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上一年项目数量</w:t>
            </w:r>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本年增/减</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处理决定数量</w:t>
            </w:r>
          </w:p>
        </w:tc>
      </w:tr>
      <w:tr>
        <w:tblPrEx>
          <w:tblLayout w:type="fixed"/>
          <w:tblCellMar>
            <w:top w:w="0" w:type="dxa"/>
            <w:left w:w="0" w:type="dxa"/>
            <w:bottom w:w="0" w:type="dxa"/>
            <w:right w:w="0" w:type="dxa"/>
          </w:tblCellMar>
        </w:tblPrEx>
        <w:trPr>
          <w:trHeight w:val="430"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行政处罚</w:t>
            </w:r>
          </w:p>
        </w:tc>
        <w:tc>
          <w:tcPr>
            <w:tcW w:w="2369" w:type="dxa"/>
            <w:tcBorders>
              <w:top w:val="nil"/>
              <w:left w:val="nil"/>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0 </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0 </w:t>
            </w:r>
          </w:p>
        </w:tc>
      </w:tr>
      <w:tr>
        <w:tblPrEx>
          <w:tblLayout w:type="fixed"/>
          <w:tblCellMar>
            <w:top w:w="0" w:type="dxa"/>
            <w:left w:w="0" w:type="dxa"/>
            <w:bottom w:w="0" w:type="dxa"/>
            <w:right w:w="0" w:type="dxa"/>
          </w:tblCellMar>
        </w:tblPrEx>
        <w:trPr>
          <w:trHeight w:val="409"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行政强制</w:t>
            </w:r>
          </w:p>
        </w:tc>
        <w:tc>
          <w:tcPr>
            <w:tcW w:w="2369" w:type="dxa"/>
            <w:tcBorders>
              <w:top w:val="nil"/>
              <w:left w:val="nil"/>
              <w:bottom w:val="single" w:color="auto" w:sz="8" w:space="0"/>
              <w:right w:val="single" w:color="auto" w:sz="8" w:space="0"/>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r>
      <w:tr>
        <w:tblPrEx>
          <w:tblLayout w:type="fixed"/>
          <w:tblCellMar>
            <w:top w:w="0" w:type="dxa"/>
            <w:left w:w="0" w:type="dxa"/>
            <w:bottom w:w="0" w:type="dxa"/>
            <w:right w:w="0" w:type="dxa"/>
          </w:tblCellMar>
        </w:tblPrEx>
        <w:trPr>
          <w:trHeight w:val="474"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第二十条第（八）项</w:t>
            </w:r>
          </w:p>
        </w:tc>
      </w:tr>
      <w:tr>
        <w:tblPrEx>
          <w:tblLayout w:type="fixed"/>
          <w:tblCellMar>
            <w:top w:w="0" w:type="dxa"/>
            <w:left w:w="0" w:type="dxa"/>
            <w:bottom w:w="0" w:type="dxa"/>
            <w:right w:w="0" w:type="dxa"/>
          </w:tblCellMar>
        </w:tblPrEx>
        <w:trPr>
          <w:trHeight w:val="270"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上一年项目数量</w:t>
            </w:r>
          </w:p>
        </w:tc>
        <w:tc>
          <w:tcPr>
            <w:tcW w:w="321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本年增/减</w:t>
            </w:r>
          </w:p>
        </w:tc>
      </w:tr>
      <w:tr>
        <w:tblPrEx>
          <w:tblLayout w:type="fixed"/>
          <w:tblCellMar>
            <w:top w:w="0" w:type="dxa"/>
            <w:left w:w="0" w:type="dxa"/>
            <w:bottom w:w="0" w:type="dxa"/>
            <w:right w:w="0" w:type="dxa"/>
          </w:tblCellMar>
        </w:tblPrEx>
        <w:trPr>
          <w:trHeight w:val="551"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行政事业性收费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 0</w:t>
            </w:r>
          </w:p>
        </w:tc>
        <w:tc>
          <w:tcPr>
            <w:tcW w:w="321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0 </w:t>
            </w:r>
          </w:p>
        </w:tc>
      </w:tr>
      <w:tr>
        <w:tblPrEx>
          <w:tblLayout w:type="fixed"/>
          <w:tblCellMar>
            <w:top w:w="0" w:type="dxa"/>
            <w:left w:w="0" w:type="dxa"/>
            <w:bottom w:w="0" w:type="dxa"/>
            <w:right w:w="0" w:type="dxa"/>
          </w:tblCellMar>
        </w:tblPrEx>
        <w:trPr>
          <w:trHeight w:val="47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第二十条第（九）项</w:t>
            </w:r>
          </w:p>
        </w:tc>
      </w:tr>
      <w:tr>
        <w:tblPrEx>
          <w:tblLayout w:type="fixed"/>
          <w:tblCellMar>
            <w:top w:w="0" w:type="dxa"/>
            <w:left w:w="0" w:type="dxa"/>
            <w:bottom w:w="0" w:type="dxa"/>
            <w:right w:w="0" w:type="dxa"/>
          </w:tblCellMar>
        </w:tblPrEx>
        <w:trPr>
          <w:trHeight w:val="585"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采购项目数量</w:t>
            </w:r>
          </w:p>
        </w:tc>
        <w:tc>
          <w:tcPr>
            <w:tcW w:w="321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采购总金额</w:t>
            </w:r>
          </w:p>
        </w:tc>
      </w:tr>
      <w:tr>
        <w:tblPrEx>
          <w:tblLayout w:type="fixed"/>
          <w:tblCellMar>
            <w:top w:w="0" w:type="dxa"/>
            <w:left w:w="0" w:type="dxa"/>
            <w:bottom w:w="0" w:type="dxa"/>
            <w:right w:w="0" w:type="dxa"/>
          </w:tblCellMar>
        </w:tblPrEx>
        <w:trPr>
          <w:trHeight w:val="539"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政府集中采购</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eastAsia" w:ascii="Times New Roman" w:hAnsi="Times New Roman" w:cs="Times New Roman" w:eastAsiaTheme="minorEastAsia"/>
                <w:sz w:val="21"/>
                <w:szCs w:val="21"/>
                <w:lang w:eastAsia="zh-CN"/>
              </w:rPr>
            </w:pPr>
            <w:r>
              <w:rPr>
                <w:rFonts w:hint="eastAsia" w:ascii="宋体" w:hAnsi="宋体" w:eastAsia="宋体" w:cs="宋体"/>
                <w:sz w:val="24"/>
                <w:szCs w:val="24"/>
                <w:lang w:val="en-US" w:eastAsia="zh-CN"/>
              </w:rPr>
              <w:t>0</w:t>
            </w:r>
          </w:p>
        </w:tc>
        <w:tc>
          <w:tcPr>
            <w:tcW w:w="321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eastAsia" w:ascii="Times New Roman" w:hAnsi="Times New Roman" w:cs="Times New Roman" w:eastAsiaTheme="minorEastAsia"/>
                <w:sz w:val="21"/>
                <w:szCs w:val="21"/>
                <w:lang w:eastAsia="zh-CN"/>
              </w:rPr>
            </w:pPr>
            <w:r>
              <w:rPr>
                <w:rFonts w:hint="eastAsia" w:ascii="宋体" w:hAnsi="宋体" w:eastAsia="宋体" w:cs="宋体"/>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640"/>
        <w:jc w:val="both"/>
        <w:rPr>
          <w:rFonts w:ascii="Calibri" w:hAnsi="Calibri" w:cs="Calibri"/>
          <w:b/>
          <w:bCs/>
          <w:i w:val="0"/>
          <w:caps w:val="0"/>
          <w:color w:val="333333"/>
          <w:spacing w:val="0"/>
          <w:sz w:val="21"/>
          <w:szCs w:val="21"/>
        </w:rPr>
      </w:pPr>
      <w:r>
        <w:rPr>
          <w:rFonts w:ascii="仿宋" w:hAnsi="仿宋" w:eastAsia="仿宋" w:cs="仿宋"/>
          <w:b/>
          <w:bCs/>
          <w:i w:val="0"/>
          <w:caps w:val="0"/>
          <w:color w:val="000000"/>
          <w:spacing w:val="0"/>
          <w:sz w:val="32"/>
          <w:szCs w:val="32"/>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auto"/>
          <w:spacing w:val="0"/>
          <w:sz w:val="32"/>
          <w:szCs w:val="32"/>
          <w:shd w:val="clear" w:fill="FFFFFF"/>
        </w:rPr>
        <w:t>201</w:t>
      </w:r>
      <w:r>
        <w:rPr>
          <w:rFonts w:hint="eastAsia" w:ascii="仿宋" w:hAnsi="仿宋" w:eastAsia="仿宋" w:cs="仿宋"/>
          <w:i w:val="0"/>
          <w:caps w:val="0"/>
          <w:color w:val="auto"/>
          <w:spacing w:val="0"/>
          <w:sz w:val="32"/>
          <w:szCs w:val="32"/>
          <w:shd w:val="clear" w:fill="FFFFFF"/>
          <w:lang w:val="en-US" w:eastAsia="zh-CN"/>
        </w:rPr>
        <w:t>9</w:t>
      </w:r>
      <w:r>
        <w:rPr>
          <w:rFonts w:hint="eastAsia" w:ascii="仿宋" w:hAnsi="仿宋" w:eastAsia="仿宋" w:cs="仿宋"/>
          <w:i w:val="0"/>
          <w:caps w:val="0"/>
          <w:color w:val="auto"/>
          <w:spacing w:val="0"/>
          <w:sz w:val="32"/>
          <w:szCs w:val="32"/>
          <w:shd w:val="clear" w:fill="FFFFFF"/>
        </w:rPr>
        <w:t>年度主动公开的政府信息包括：我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的机构设置及职能职责、</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党组成员及分工,社区</w:t>
      </w:r>
      <w:r>
        <w:rPr>
          <w:rFonts w:hint="eastAsia" w:ascii="仿宋" w:hAnsi="仿宋" w:eastAsia="仿宋" w:cs="仿宋"/>
          <w:i w:val="0"/>
          <w:caps w:val="0"/>
          <w:color w:val="auto"/>
          <w:spacing w:val="0"/>
          <w:sz w:val="32"/>
          <w:szCs w:val="32"/>
          <w:shd w:val="clear" w:fill="FFFFFF"/>
          <w:lang w:eastAsia="zh-CN"/>
        </w:rPr>
        <w:t>文明创建</w:t>
      </w:r>
      <w:r>
        <w:rPr>
          <w:rFonts w:hint="eastAsia" w:ascii="仿宋" w:hAnsi="仿宋" w:eastAsia="仿宋" w:cs="仿宋"/>
          <w:i w:val="0"/>
          <w:caps w:val="0"/>
          <w:color w:val="auto"/>
          <w:spacing w:val="0"/>
          <w:sz w:val="32"/>
          <w:szCs w:val="32"/>
          <w:shd w:val="clear" w:fill="FFFFFF"/>
        </w:rPr>
        <w:t>工作、</w:t>
      </w:r>
      <w:r>
        <w:rPr>
          <w:rFonts w:hint="eastAsia" w:ascii="仿宋" w:hAnsi="仿宋" w:eastAsia="仿宋" w:cs="仿宋"/>
          <w:i w:val="0"/>
          <w:caps w:val="0"/>
          <w:color w:val="auto"/>
          <w:spacing w:val="0"/>
          <w:sz w:val="32"/>
          <w:szCs w:val="32"/>
          <w:shd w:val="clear" w:fill="FFFFFF"/>
          <w:lang w:eastAsia="zh-CN"/>
        </w:rPr>
        <w:t>招商引资</w:t>
      </w:r>
      <w:r>
        <w:rPr>
          <w:rFonts w:hint="eastAsia" w:ascii="仿宋" w:hAnsi="仿宋" w:eastAsia="仿宋" w:cs="仿宋"/>
          <w:i w:val="0"/>
          <w:caps w:val="0"/>
          <w:color w:val="auto"/>
          <w:spacing w:val="0"/>
          <w:sz w:val="32"/>
          <w:szCs w:val="32"/>
          <w:shd w:val="clear" w:fill="FFFFFF"/>
        </w:rPr>
        <w:t>工作、</w:t>
      </w:r>
      <w:r>
        <w:rPr>
          <w:rFonts w:hint="eastAsia" w:ascii="仿宋" w:hAnsi="仿宋" w:eastAsia="仿宋" w:cs="仿宋"/>
          <w:i w:val="0"/>
          <w:caps w:val="0"/>
          <w:color w:val="auto"/>
          <w:spacing w:val="0"/>
          <w:sz w:val="32"/>
          <w:szCs w:val="32"/>
          <w:shd w:val="clear" w:fill="FFFFFF"/>
          <w:lang w:eastAsia="zh-CN"/>
        </w:rPr>
        <w:t>企业咨询</w:t>
      </w:r>
      <w:r>
        <w:rPr>
          <w:rFonts w:hint="eastAsia" w:ascii="仿宋" w:hAnsi="仿宋" w:eastAsia="仿宋" w:cs="仿宋"/>
          <w:i w:val="0"/>
          <w:caps w:val="0"/>
          <w:color w:val="auto"/>
          <w:spacing w:val="0"/>
          <w:sz w:val="32"/>
          <w:szCs w:val="32"/>
          <w:shd w:val="clear" w:fill="FFFFFF"/>
        </w:rPr>
        <w:t>工作 、</w:t>
      </w:r>
      <w:r>
        <w:rPr>
          <w:rFonts w:hint="eastAsia" w:ascii="仿宋" w:hAnsi="仿宋" w:eastAsia="仿宋" w:cs="仿宋"/>
          <w:i w:val="0"/>
          <w:caps w:val="0"/>
          <w:color w:val="auto"/>
          <w:spacing w:val="0"/>
          <w:sz w:val="32"/>
          <w:szCs w:val="32"/>
          <w:shd w:val="clear" w:fill="FFFFFF"/>
          <w:lang w:eastAsia="zh-CN"/>
        </w:rPr>
        <w:t>政策解读</w:t>
      </w:r>
      <w:r>
        <w:rPr>
          <w:rFonts w:hint="eastAsia" w:ascii="仿宋" w:hAnsi="仿宋" w:eastAsia="仿宋" w:cs="仿宋"/>
          <w:i w:val="0"/>
          <w:caps w:val="0"/>
          <w:color w:val="auto"/>
          <w:spacing w:val="0"/>
          <w:sz w:val="32"/>
          <w:szCs w:val="32"/>
          <w:shd w:val="clear" w:fill="FFFFFF"/>
        </w:rPr>
        <w:t>业务、等我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重点工作推进情况及各类业务工作动态、三公经费支出情况及专项资金使用情况、部门政策解读等</w:t>
      </w:r>
      <w:r>
        <w:rPr>
          <w:rFonts w:hint="eastAsia" w:ascii="仿宋" w:hAnsi="仿宋" w:eastAsia="仿宋" w:cs="仿宋"/>
          <w:i w:val="0"/>
          <w:caps w:val="0"/>
          <w:color w:val="000000"/>
          <w:spacing w:val="0"/>
          <w:sz w:val="32"/>
          <w:szCs w:val="32"/>
          <w:shd w:val="clear" w:fill="FFFFFF"/>
        </w:rPr>
        <w:t>信息。</w:t>
      </w:r>
    </w:p>
    <w:tbl>
      <w:tblPr>
        <w:tblStyle w:val="3"/>
        <w:tblW w:w="9345" w:type="dxa"/>
        <w:tblInd w:w="132" w:type="dxa"/>
        <w:shd w:val="clear" w:color="auto" w:fill="auto"/>
        <w:tblLayout w:type="fixed"/>
        <w:tblCellMar>
          <w:top w:w="0" w:type="dxa"/>
          <w:left w:w="0" w:type="dxa"/>
          <w:bottom w:w="0" w:type="dxa"/>
          <w:right w:w="0" w:type="dxa"/>
        </w:tblCellMar>
      </w:tblPr>
      <w:tblGrid>
        <w:gridCol w:w="630"/>
        <w:gridCol w:w="890"/>
        <w:gridCol w:w="1560"/>
        <w:gridCol w:w="603"/>
        <w:gridCol w:w="577"/>
        <w:gridCol w:w="656"/>
        <w:gridCol w:w="669"/>
        <w:gridCol w:w="695"/>
        <w:gridCol w:w="1339"/>
        <w:gridCol w:w="1726"/>
      </w:tblGrid>
      <w:tr>
        <w:tblPrEx>
          <w:shd w:val="clear" w:color="auto" w:fill="auto"/>
          <w:tblLayout w:type="fixed"/>
          <w:tblCellMar>
            <w:top w:w="0" w:type="dxa"/>
            <w:left w:w="0" w:type="dxa"/>
            <w:bottom w:w="0" w:type="dxa"/>
            <w:right w:w="0" w:type="dxa"/>
          </w:tblCellMar>
        </w:tblPrEx>
        <w:trPr>
          <w:trHeight w:val="585" w:hRule="atLeast"/>
        </w:trPr>
        <w:tc>
          <w:tcPr>
            <w:tcW w:w="3080"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（本列数据的勾稽关系为：第一项加第二项之和，等于第三项加第四项之和）</w:t>
            </w:r>
          </w:p>
        </w:tc>
        <w:tc>
          <w:tcPr>
            <w:tcW w:w="626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申请人情况</w:t>
            </w:r>
          </w:p>
        </w:tc>
      </w:tr>
      <w:tr>
        <w:tblPrEx>
          <w:tblLayout w:type="fixed"/>
          <w:tblCellMar>
            <w:top w:w="0" w:type="dxa"/>
            <w:left w:w="0" w:type="dxa"/>
            <w:bottom w:w="0" w:type="dxa"/>
            <w:right w:w="0" w:type="dxa"/>
          </w:tblCellMar>
        </w:tblPrEx>
        <w:trPr>
          <w:trHeight w:val="585" w:hRule="atLeast"/>
        </w:trPr>
        <w:tc>
          <w:tcPr>
            <w:tcW w:w="308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自然人</w:t>
            </w:r>
          </w:p>
        </w:tc>
        <w:tc>
          <w:tcPr>
            <w:tcW w:w="3936"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法人或其他组织</w:t>
            </w:r>
          </w:p>
        </w:tc>
        <w:tc>
          <w:tcPr>
            <w:tcW w:w="172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r>
      <w:tr>
        <w:tblPrEx>
          <w:tblLayout w:type="fixed"/>
          <w:tblCellMar>
            <w:top w:w="0" w:type="dxa"/>
            <w:left w:w="0" w:type="dxa"/>
            <w:bottom w:w="0" w:type="dxa"/>
            <w:right w:w="0" w:type="dxa"/>
          </w:tblCellMar>
        </w:tblPrEx>
        <w:trPr>
          <w:trHeight w:val="1140" w:hRule="atLeast"/>
        </w:trPr>
        <w:tc>
          <w:tcPr>
            <w:tcW w:w="308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商业企业</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科研机构</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社会公益组织</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法律服务机构</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w:t>
            </w:r>
          </w:p>
        </w:tc>
        <w:tc>
          <w:tcPr>
            <w:tcW w:w="172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140" w:hRule="atLeast"/>
        </w:trPr>
        <w:tc>
          <w:tcPr>
            <w:tcW w:w="3080" w:type="dxa"/>
            <w:gridSpan w:val="3"/>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一、本年新收政府信息公开申请数量</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r>
      <w:tr>
        <w:tblPrEx>
          <w:tblLayout w:type="fixed"/>
          <w:tblCellMar>
            <w:top w:w="0" w:type="dxa"/>
            <w:left w:w="0" w:type="dxa"/>
            <w:bottom w:w="0" w:type="dxa"/>
            <w:right w:w="0" w:type="dxa"/>
          </w:tblCellMar>
        </w:tblPrEx>
        <w:trPr>
          <w:trHeight w:val="1140" w:hRule="atLeast"/>
        </w:trPr>
        <w:tc>
          <w:tcPr>
            <w:tcW w:w="3080" w:type="dxa"/>
            <w:gridSpan w:val="3"/>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二、上年结转政府信息公开申请数量</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r>
      <w:tr>
        <w:tblPrEx>
          <w:tblLayout w:type="fixed"/>
          <w:tblCellMar>
            <w:top w:w="0" w:type="dxa"/>
            <w:left w:w="0" w:type="dxa"/>
            <w:bottom w:w="0" w:type="dxa"/>
            <w:right w:w="0" w:type="dxa"/>
          </w:tblCellMar>
        </w:tblPrEx>
        <w:trPr>
          <w:trHeight w:val="585" w:hRule="atLeast"/>
        </w:trPr>
        <w:tc>
          <w:tcPr>
            <w:tcW w:w="630" w:type="dxa"/>
            <w:vMerge w:val="restart"/>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三、本年度办理结果</w:t>
            </w:r>
          </w:p>
        </w:tc>
        <w:tc>
          <w:tcPr>
            <w:tcW w:w="2450" w:type="dxa"/>
            <w:gridSpan w:val="2"/>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ascii="楷体" w:hAnsi="楷体" w:eastAsia="楷体" w:cs="楷体"/>
                <w:sz w:val="20"/>
                <w:szCs w:val="20"/>
              </w:rPr>
              <w:t>（一）予以公开</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450" w:type="dxa"/>
            <w:gridSpan w:val="2"/>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（二）部分公开（区分处理的，只计这一情形，不计其他情形）</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（三）不予公开</w:t>
            </w: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1.属于国家秘密</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2.其他法律行政法规禁止公开</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0 </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 </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3.危及“三安全一稳定”</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4.保护第三方合法权益</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5.属于三类内部事务信息</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6.属于四类过程性信息</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7.属于行政执法案卷</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8.属于行政查询事项</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（四）无法提供</w:t>
            </w: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1.本机关不掌握相关政府信息</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2.没有现成信息需要另行制作</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3.补正后申请内容仍不明确</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（五）不予处理</w:t>
            </w: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1.信访举报投诉类申请</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r>
      <w:tr>
        <w:tblPrEx>
          <w:tblLayout w:type="fixed"/>
          <w:tblCellMar>
            <w:top w:w="0" w:type="dxa"/>
            <w:left w:w="0" w:type="dxa"/>
            <w:bottom w:w="0" w:type="dxa"/>
            <w:right w:w="0" w:type="dxa"/>
          </w:tblCellMar>
        </w:tblPrEx>
        <w:trPr>
          <w:trHeight w:val="585"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2.重复申请</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140"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3.要求提供公开出版物</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1711"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4.无正当理由大量反复申请</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2266"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89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5.要求行政机关确认或重新出具已获取信息</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585"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450" w:type="dxa"/>
            <w:gridSpan w:val="2"/>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（六）其他处理</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r>
      <w:tr>
        <w:tblPrEx>
          <w:tblLayout w:type="fixed"/>
          <w:tblCellMar>
            <w:top w:w="0" w:type="dxa"/>
            <w:left w:w="0" w:type="dxa"/>
            <w:bottom w:w="0" w:type="dxa"/>
            <w:right w:w="0" w:type="dxa"/>
          </w:tblCellMar>
        </w:tblPrEx>
        <w:trPr>
          <w:trHeight w:val="585" w:hRule="atLeast"/>
        </w:trPr>
        <w:tc>
          <w:tcPr>
            <w:tcW w:w="630"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450" w:type="dxa"/>
            <w:gridSpan w:val="2"/>
            <w:tcBorders>
              <w:top w:val="nil"/>
              <w:left w:val="nil"/>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（七）总计</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r>
      <w:tr>
        <w:tblPrEx>
          <w:tblLayout w:type="fixed"/>
          <w:tblCellMar>
            <w:top w:w="0" w:type="dxa"/>
            <w:left w:w="0" w:type="dxa"/>
            <w:bottom w:w="0" w:type="dxa"/>
            <w:right w:w="0" w:type="dxa"/>
          </w:tblCellMar>
        </w:tblPrEx>
        <w:trPr>
          <w:trHeight w:val="585" w:hRule="atLeast"/>
        </w:trPr>
        <w:tc>
          <w:tcPr>
            <w:tcW w:w="3080" w:type="dxa"/>
            <w:gridSpan w:val="3"/>
            <w:tcBorders>
              <w:top w:val="nil"/>
              <w:left w:val="single" w:color="auto" w:sz="8" w:space="0"/>
              <w:bottom w:val="single" w:color="auto" w:sz="8" w:space="0"/>
              <w:right w:val="single" w:color="auto"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四、结转下年度继续办理</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5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13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7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4"/>
                <w:szCs w:val="24"/>
              </w:rPr>
              <w:t> 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jc w:val="both"/>
        <w:outlineLvl w:val="0"/>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bCs/>
          <w:i w:val="0"/>
          <w:caps w:val="0"/>
          <w:color w:val="000000"/>
          <w:spacing w:val="0"/>
          <w:sz w:val="32"/>
          <w:szCs w:val="32"/>
          <w:shd w:val="clear" w:fill="FFFFFF"/>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2019年，我单位严格按照《条例》的规定公开政府信息，没有政府信息公开申请行政复议、诉讼和申诉的情况发生。</w:t>
      </w:r>
    </w:p>
    <w:tbl>
      <w:tblPr>
        <w:tblStyle w:val="3"/>
        <w:tblW w:w="9210" w:type="dxa"/>
        <w:tblInd w:w="132" w:type="dxa"/>
        <w:shd w:val="clear" w:color="auto" w:fill="auto"/>
        <w:tblLayout w:type="fixed"/>
        <w:tblCellMar>
          <w:top w:w="0" w:type="dxa"/>
          <w:left w:w="0" w:type="dxa"/>
          <w:bottom w:w="0" w:type="dxa"/>
          <w:right w:w="0" w:type="dxa"/>
        </w:tblCellMar>
      </w:tblPr>
      <w:tblGrid>
        <w:gridCol w:w="500"/>
        <w:gridCol w:w="434"/>
        <w:gridCol w:w="434"/>
        <w:gridCol w:w="434"/>
        <w:gridCol w:w="1282"/>
        <w:gridCol w:w="434"/>
        <w:gridCol w:w="469"/>
        <w:gridCol w:w="469"/>
        <w:gridCol w:w="485"/>
        <w:gridCol w:w="1079"/>
        <w:gridCol w:w="563"/>
        <w:gridCol w:w="500"/>
        <w:gridCol w:w="469"/>
        <w:gridCol w:w="500"/>
        <w:gridCol w:w="1158"/>
      </w:tblGrid>
      <w:tr>
        <w:tblPrEx>
          <w:shd w:val="clear" w:color="auto" w:fill="auto"/>
          <w:tblLayout w:type="fixed"/>
          <w:tblCellMar>
            <w:top w:w="0" w:type="dxa"/>
            <w:left w:w="0" w:type="dxa"/>
            <w:bottom w:w="0" w:type="dxa"/>
            <w:right w:w="0" w:type="dxa"/>
          </w:tblCellMar>
        </w:tblPrEx>
        <w:tc>
          <w:tcPr>
            <w:tcW w:w="308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行政复议</w:t>
            </w:r>
          </w:p>
        </w:tc>
        <w:tc>
          <w:tcPr>
            <w:tcW w:w="6126"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行政诉讼</w:t>
            </w:r>
          </w:p>
        </w:tc>
      </w:tr>
      <w:tr>
        <w:tblPrEx>
          <w:tblLayout w:type="fixed"/>
          <w:tblCellMar>
            <w:top w:w="0" w:type="dxa"/>
            <w:left w:w="0" w:type="dxa"/>
            <w:bottom w:w="0" w:type="dxa"/>
            <w:right w:w="0" w:type="dxa"/>
          </w:tblCellMar>
        </w:tblPrEx>
        <w:tc>
          <w:tcPr>
            <w:tcW w:w="5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43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结果纠正</w:t>
            </w:r>
          </w:p>
        </w:tc>
        <w:tc>
          <w:tcPr>
            <w:tcW w:w="43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其他结果</w:t>
            </w:r>
          </w:p>
        </w:tc>
        <w:tc>
          <w:tcPr>
            <w:tcW w:w="43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尚未审结</w:t>
            </w:r>
          </w:p>
        </w:tc>
        <w:tc>
          <w:tcPr>
            <w:tcW w:w="128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c>
          <w:tcPr>
            <w:tcW w:w="2936"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未经复议直接起诉</w:t>
            </w:r>
          </w:p>
        </w:tc>
        <w:tc>
          <w:tcPr>
            <w:tcW w:w="319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复议后起诉</w:t>
            </w:r>
          </w:p>
        </w:tc>
      </w:tr>
      <w:tr>
        <w:tblPrEx>
          <w:tblLayout w:type="fixed"/>
          <w:tblCellMar>
            <w:top w:w="0" w:type="dxa"/>
            <w:left w:w="0" w:type="dxa"/>
            <w:bottom w:w="0" w:type="dxa"/>
            <w:right w:w="0" w:type="dxa"/>
          </w:tblCellMar>
        </w:tblPrEx>
        <w:tc>
          <w:tcPr>
            <w:tcW w:w="5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8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结果纠正</w:t>
            </w:r>
          </w:p>
        </w:tc>
        <w:tc>
          <w:tcPr>
            <w:tcW w:w="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其他结果</w:t>
            </w:r>
          </w:p>
        </w:tc>
        <w:tc>
          <w:tcPr>
            <w:tcW w:w="4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尚未审结</w:t>
            </w:r>
          </w:p>
        </w:tc>
        <w:tc>
          <w:tcPr>
            <w:tcW w:w="1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c>
          <w:tcPr>
            <w:tcW w:w="56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结果纠正</w:t>
            </w:r>
          </w:p>
        </w:tc>
        <w:tc>
          <w:tcPr>
            <w:tcW w:w="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其他结果</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尚未审结</w:t>
            </w:r>
          </w:p>
        </w:tc>
        <w:tc>
          <w:tcPr>
            <w:tcW w:w="11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r>
      <w:tr>
        <w:tblPrEx>
          <w:tblLayout w:type="fixed"/>
          <w:tblCellMar>
            <w:top w:w="0" w:type="dxa"/>
            <w:left w:w="0" w:type="dxa"/>
            <w:bottom w:w="0" w:type="dxa"/>
            <w:right w:w="0" w:type="dxa"/>
          </w:tblCellMar>
        </w:tblPrEx>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4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4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4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0</w:t>
            </w:r>
          </w:p>
        </w:tc>
        <w:tc>
          <w:tcPr>
            <w:tcW w:w="128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0</w:t>
            </w:r>
          </w:p>
        </w:tc>
        <w:tc>
          <w:tcPr>
            <w:tcW w:w="4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 0</w:t>
            </w:r>
          </w:p>
        </w:tc>
        <w:tc>
          <w:tcPr>
            <w:tcW w:w="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4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10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 0</w:t>
            </w:r>
          </w:p>
        </w:tc>
        <w:tc>
          <w:tcPr>
            <w:tcW w:w="56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 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 0</w:t>
            </w:r>
          </w:p>
        </w:tc>
        <w:tc>
          <w:tcPr>
            <w:tcW w:w="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 0</w:t>
            </w:r>
          </w:p>
        </w:tc>
        <w:tc>
          <w:tcPr>
            <w:tcW w:w="5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 0</w:t>
            </w:r>
          </w:p>
        </w:tc>
        <w:tc>
          <w:tcPr>
            <w:tcW w:w="11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4"/>
                <w:szCs w:val="24"/>
              </w:rPr>
              <w:t> 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Calibri" w:hAnsi="Calibri" w:cs="Calibri"/>
          <w:b/>
          <w:bCs/>
          <w:i w:val="0"/>
          <w:caps w:val="0"/>
          <w:color w:val="333333"/>
          <w:spacing w:val="0"/>
          <w:sz w:val="21"/>
          <w:szCs w:val="21"/>
        </w:rPr>
      </w:pPr>
      <w:r>
        <w:rPr>
          <w:rFonts w:ascii="仿宋" w:hAnsi="仿宋" w:eastAsia="仿宋" w:cs="仿宋"/>
          <w:b/>
          <w:bCs/>
          <w:i w:val="0"/>
          <w:caps w:val="0"/>
          <w:color w:val="000000"/>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（一）存在的主要问题和困难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Calibri" w:hAnsi="Calibri" w:eastAsia="仿宋" w:cs="Calibri"/>
          <w:i w:val="0"/>
          <w:caps w:val="0"/>
          <w:color w:val="333333"/>
          <w:spacing w:val="0"/>
          <w:sz w:val="21"/>
          <w:szCs w:val="21"/>
          <w:lang w:eastAsia="zh-CN"/>
        </w:rPr>
      </w:pPr>
      <w:r>
        <w:rPr>
          <w:rFonts w:hint="eastAsia" w:ascii="仿宋" w:hAnsi="仿宋" w:eastAsia="仿宋" w:cs="仿宋"/>
          <w:i w:val="0"/>
          <w:caps w:val="0"/>
          <w:color w:val="000000"/>
          <w:spacing w:val="0"/>
          <w:sz w:val="32"/>
          <w:szCs w:val="32"/>
          <w:shd w:val="clear" w:fill="FFFFFF"/>
        </w:rPr>
        <w:t>2019年，我</w:t>
      </w:r>
      <w:r>
        <w:rPr>
          <w:rFonts w:hint="eastAsia" w:ascii="仿宋" w:hAnsi="仿宋" w:eastAsia="仿宋" w:cs="仿宋"/>
          <w:i w:val="0"/>
          <w:caps w:val="0"/>
          <w:color w:val="000000"/>
          <w:spacing w:val="0"/>
          <w:sz w:val="32"/>
          <w:szCs w:val="32"/>
          <w:shd w:val="clear" w:fill="FFFFFF"/>
          <w:lang w:eastAsia="zh-CN"/>
        </w:rPr>
        <w:t>中心</w:t>
      </w:r>
      <w:r>
        <w:rPr>
          <w:rFonts w:hint="eastAsia" w:ascii="仿宋" w:hAnsi="仿宋" w:eastAsia="仿宋" w:cs="仿宋"/>
          <w:i w:val="0"/>
          <w:caps w:val="0"/>
          <w:color w:val="000000"/>
          <w:spacing w:val="0"/>
          <w:sz w:val="32"/>
          <w:szCs w:val="32"/>
          <w:shd w:val="clear" w:fill="FFFFFF"/>
        </w:rPr>
        <w:t>在政府信息公开工作内容丰富性、实效性，人员配置上还要进一步加强。一是内容上单调，多以文字表述为主，缺少图片、图表等群众喜闻乐见的形式；二是内容更新不及时，无法做到实时动态更新。三是人员配置以兼职为主，信息公开发布、审核、监督无法实现一岗一责。</w:t>
      </w:r>
      <w:r>
        <w:rPr>
          <w:rFonts w:hint="eastAsia" w:ascii="仿宋" w:hAnsi="仿宋" w:eastAsia="仿宋" w:cs="仿宋"/>
          <w:i w:val="0"/>
          <w:caps w:val="0"/>
          <w:color w:val="000000"/>
          <w:spacing w:val="0"/>
          <w:sz w:val="32"/>
          <w:szCs w:val="32"/>
          <w:shd w:val="clear" w:fill="FFFFFF"/>
          <w:lang w:eastAsia="zh-CN"/>
        </w:rPr>
        <w:t>四是招商引资方面的内容发布比较少，没能很好的体现出本单位的工作和特色。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（二）具体的解决办法和改进措施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2020，我单位将在县委、县政府的领导下，围绕政府信息公开工作目标，</w:t>
      </w:r>
      <w:r>
        <w:rPr>
          <w:rFonts w:hint="eastAsia" w:ascii="仿宋" w:hAnsi="仿宋" w:eastAsia="仿宋" w:cs="仿宋"/>
          <w:i w:val="0"/>
          <w:caps w:val="0"/>
          <w:color w:val="000000"/>
          <w:spacing w:val="0"/>
          <w:sz w:val="32"/>
          <w:szCs w:val="32"/>
          <w:shd w:val="clear" w:fill="FFFFFF"/>
          <w:lang w:eastAsia="zh-CN"/>
        </w:rPr>
        <w:t>多发招商引资方面相关信息，</w:t>
      </w:r>
      <w:r>
        <w:rPr>
          <w:rFonts w:hint="eastAsia" w:ascii="仿宋" w:hAnsi="仿宋" w:eastAsia="仿宋" w:cs="仿宋"/>
          <w:i w:val="0"/>
          <w:caps w:val="0"/>
          <w:color w:val="000000"/>
          <w:spacing w:val="0"/>
          <w:sz w:val="32"/>
          <w:szCs w:val="32"/>
          <w:shd w:val="clear" w:fill="FFFFFF"/>
        </w:rPr>
        <w:t>切实增强丰富性、实效性，推动政府信息公开工作再上新台阶。一是着力健全政府信息公开工作制度。完善舆情风险评估、监督检查、政策解读等15项工作制度，形成政务公开的制度体系。二是着力丰富政府信息公开形式。不仅完善政策法系，向社会披露和解读公众关注度高、公益性强、涉及面广的重要决策等政府信息，同时注重提升丰富性，多采用图表、图片形式发布。三是着力充实政府信息公开内容。政府信息内容多而杂，分散于单位内部，不仅要做好信息归集、整理工作，同时要拓展受众面，让更多的人知晓政府信息工作。</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 w:hAnsi="仿宋" w:eastAsia="仿宋" w:cs="仿宋"/>
          <w:i w:val="0"/>
          <w:caps w:val="0"/>
          <w:color w:val="auto"/>
          <w:spacing w:val="0"/>
          <w:sz w:val="32"/>
          <w:szCs w:val="32"/>
        </w:rPr>
      </w:pPr>
      <w:r>
        <w:rPr>
          <w:rFonts w:ascii="仿宋" w:hAnsi="仿宋" w:eastAsia="仿宋" w:cs="仿宋"/>
          <w:i w:val="0"/>
          <w:caps w:val="0"/>
          <w:color w:val="auto"/>
          <w:spacing w:val="0"/>
          <w:sz w:val="32"/>
          <w:szCs w:val="32"/>
          <w:shd w:val="clear" w:fill="FFFFFF"/>
        </w:rPr>
        <w:t>如对本报告有疑问，请与寿县</w:t>
      </w:r>
      <w:r>
        <w:rPr>
          <w:rFonts w:hint="eastAsia" w:ascii="仿宋" w:hAnsi="仿宋" w:eastAsia="仿宋" w:cs="仿宋"/>
          <w:i w:val="0"/>
          <w:caps w:val="0"/>
          <w:color w:val="auto"/>
          <w:spacing w:val="0"/>
          <w:sz w:val="32"/>
          <w:szCs w:val="32"/>
          <w:shd w:val="clear" w:fill="FFFFFF"/>
          <w:lang w:eastAsia="zh-CN"/>
        </w:rPr>
        <w:t>招商投资促进中心</w:t>
      </w:r>
      <w:r>
        <w:rPr>
          <w:rFonts w:ascii="仿宋" w:hAnsi="仿宋" w:eastAsia="仿宋" w:cs="仿宋"/>
          <w:i w:val="0"/>
          <w:caps w:val="0"/>
          <w:color w:val="auto"/>
          <w:spacing w:val="0"/>
          <w:sz w:val="32"/>
          <w:szCs w:val="32"/>
          <w:shd w:val="clear" w:fill="FFFFFF"/>
        </w:rPr>
        <w:t>联系（地址：寿县国投大厦</w:t>
      </w:r>
      <w:r>
        <w:rPr>
          <w:rFonts w:hint="eastAsia" w:ascii="仿宋" w:hAnsi="仿宋" w:eastAsia="仿宋" w:cs="仿宋"/>
          <w:i w:val="0"/>
          <w:caps w:val="0"/>
          <w:color w:val="auto"/>
          <w:spacing w:val="0"/>
          <w:sz w:val="32"/>
          <w:szCs w:val="32"/>
          <w:shd w:val="clear" w:fill="FFFFFF"/>
          <w:lang w:val="en-US" w:eastAsia="zh-CN"/>
        </w:rPr>
        <w:t>503</w:t>
      </w:r>
      <w:r>
        <w:rPr>
          <w:rFonts w:hint="eastAsia" w:ascii="仿宋" w:hAnsi="仿宋" w:eastAsia="仿宋" w:cs="仿宋"/>
          <w:i w:val="0"/>
          <w:caps w:val="0"/>
          <w:color w:val="auto"/>
          <w:spacing w:val="0"/>
          <w:sz w:val="32"/>
          <w:szCs w:val="32"/>
          <w:shd w:val="clear" w:fill="FFFFFF"/>
        </w:rPr>
        <w:t>室，邮编：232200，电话：0554-403</w:t>
      </w:r>
      <w:r>
        <w:rPr>
          <w:rFonts w:hint="eastAsia" w:ascii="仿宋" w:hAnsi="仿宋" w:eastAsia="仿宋" w:cs="仿宋"/>
          <w:i w:val="0"/>
          <w:caps w:val="0"/>
          <w:color w:val="auto"/>
          <w:spacing w:val="0"/>
          <w:sz w:val="32"/>
          <w:szCs w:val="32"/>
          <w:shd w:val="clear" w:fill="FFFFFF"/>
          <w:lang w:val="en-US" w:eastAsia="zh-CN"/>
        </w:rPr>
        <w:t>36161</w:t>
      </w:r>
      <w:r>
        <w:rPr>
          <w:rFonts w:hint="eastAsia" w:ascii="仿宋" w:hAnsi="仿宋" w:eastAsia="仿宋" w:cs="仿宋"/>
          <w:i w:val="0"/>
          <w:caps w:val="0"/>
          <w:color w:val="auto"/>
          <w:spacing w:val="0"/>
          <w:sz w:val="32"/>
          <w:szCs w:val="32"/>
          <w:shd w:val="clear" w:fill="FFFFFF"/>
        </w:rPr>
        <w:t>，电子邮箱：</w:t>
      </w:r>
      <w:r>
        <w:rPr>
          <w:rFonts w:hint="eastAsia" w:ascii="仿宋" w:hAnsi="仿宋" w:eastAsia="仿宋" w:cs="仿宋"/>
          <w:i w:val="0"/>
          <w:caps w:val="0"/>
          <w:color w:val="auto"/>
          <w:spacing w:val="0"/>
          <w:sz w:val="32"/>
          <w:szCs w:val="32"/>
          <w:shd w:val="clear" w:fill="FFFFFF"/>
          <w:lang w:val="en-US" w:eastAsia="zh-CN"/>
        </w:rPr>
        <w:t>570154038</w:t>
      </w:r>
      <w:r>
        <w:rPr>
          <w:rFonts w:hint="eastAsia" w:ascii="仿宋" w:hAnsi="仿宋" w:eastAsia="仿宋" w:cs="仿宋"/>
          <w:i w:val="0"/>
          <w:caps w:val="0"/>
          <w:color w:val="auto"/>
          <w:spacing w:val="0"/>
          <w:sz w:val="32"/>
          <w:szCs w:val="32"/>
          <w:shd w:val="clear" w:fill="FFFFFF"/>
        </w:rPr>
        <w:t>@qq.com。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640"/>
        <w:jc w:val="both"/>
        <w:outlineLvl w:val="0"/>
        <w:rPr>
          <w:rFonts w:hint="default" w:ascii="Calibri" w:hAnsi="Calibri" w:cs="Calibri"/>
          <w:b/>
          <w:bCs/>
          <w:i w:val="0"/>
          <w:caps w:val="0"/>
          <w:color w:val="333333"/>
          <w:spacing w:val="0"/>
          <w:sz w:val="21"/>
          <w:szCs w:val="21"/>
        </w:rPr>
      </w:pPr>
      <w:r>
        <w:rPr>
          <w:rFonts w:hint="eastAsia" w:ascii="仿宋" w:hAnsi="仿宋" w:eastAsia="仿宋" w:cs="仿宋"/>
          <w:b/>
          <w:bCs/>
          <w:i w:val="0"/>
          <w:caps w:val="0"/>
          <w:color w:val="000000"/>
          <w:spacing w:val="0"/>
          <w:sz w:val="32"/>
          <w:szCs w:val="32"/>
          <w:shd w:val="clear" w:fill="FFFFFF"/>
          <w:lang w:eastAsia="zh-CN"/>
        </w:rPr>
        <w:t>六</w:t>
      </w:r>
      <w:r>
        <w:rPr>
          <w:rFonts w:hint="eastAsia" w:ascii="仿宋" w:hAnsi="仿宋" w:eastAsia="仿宋" w:cs="仿宋"/>
          <w:b/>
          <w:bCs/>
          <w:i w:val="0"/>
          <w:caps w:val="0"/>
          <w:color w:val="000000"/>
          <w:spacing w:val="0"/>
          <w:sz w:val="32"/>
          <w:szCs w:val="32"/>
          <w:shd w:val="clear" w:fill="FFFFFF"/>
        </w:rPr>
        <w:t>、其他需要报告的事项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3" w:lineRule="atLeast"/>
        <w:ind w:left="0" w:right="0" w:firstLine="640"/>
        <w:jc w:val="both"/>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rPr>
        <w:t>无其他需要报告的事项。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 w:hAnsi="仿宋" w:eastAsia="仿宋" w:cs="仿宋"/>
          <w:i w:val="0"/>
          <w:caps w:val="0"/>
          <w:color w:val="auto"/>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 w:hAnsi="仿宋" w:eastAsia="仿宋" w:cs="仿宋"/>
          <w:i w:val="0"/>
          <w:caps w:val="0"/>
          <w:color w:val="auto"/>
          <w:spacing w:val="0"/>
          <w:sz w:val="32"/>
          <w:szCs w:val="32"/>
          <w:shd w:val="clear" w:fill="FFFFFF"/>
          <w:lang w:val="en-US" w:eastAsia="zh-CN"/>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16DCC4"/>
    <w:multiLevelType w:val="singleLevel"/>
    <w:tmpl w:val="F016DC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C1CA7"/>
    <w:rsid w:val="0D5E7E1C"/>
    <w:rsid w:val="17D1020F"/>
    <w:rsid w:val="1D2530E1"/>
    <w:rsid w:val="2898672F"/>
    <w:rsid w:val="3367235C"/>
    <w:rsid w:val="403C1CA7"/>
    <w:rsid w:val="6C7F4ABB"/>
    <w:rsid w:val="6D652767"/>
    <w:rsid w:val="7309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2020-01-11T02:48:00Z</dcterms:created>
  <dc:creator>还有六步</dc:creator>
  <cp:lastModifiedBy>还有六步</cp:lastModifiedBy>
  <dcterms:modified xsi:type="dcterms:W3CDTF">2020-05-28T02:18:01Z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