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698"/>
        <w:gridCol w:w="928"/>
        <w:gridCol w:w="2026"/>
        <w:gridCol w:w="912"/>
        <w:gridCol w:w="603"/>
        <w:gridCol w:w="882"/>
        <w:gridCol w:w="1206"/>
        <w:gridCol w:w="912"/>
        <w:gridCol w:w="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zh-CN"/>
              </w:rPr>
              <w:t>2022</w:t>
            </w:r>
            <w:r>
              <w:rPr>
                <w:rFonts w:hint="eastAsia"/>
                <w:sz w:val="20"/>
                <w:szCs w:val="20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79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党校教育事业发展</w:t>
            </w: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79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中共寿县县委党校</w:t>
            </w: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项目属性</w:t>
            </w:r>
          </w:p>
        </w:tc>
        <w:tc>
          <w:tcPr>
            <w:tcW w:w="79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常年项目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项目资金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（万元）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中期资金总额：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60.00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年度资金总额：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60.00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其他资金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60.00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其他资金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60.00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目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5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中期目标（20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年—20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/>
                <w:sz w:val="20"/>
                <w:szCs w:val="20"/>
              </w:rPr>
              <w:t>年）</w:t>
            </w:r>
          </w:p>
        </w:tc>
        <w:tc>
          <w:tcPr>
            <w:tcW w:w="3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56" w:firstLineChars="200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spacing w:val="-1"/>
                <w:sz w:val="18"/>
                <w:szCs w:val="18"/>
                <w:lang w:val="en-US" w:eastAsia="zh-CN"/>
              </w:rPr>
              <w:t>用于党校日常教学工作运转，主要包括工资福利类支出，教科研经费支出，日常办公费费支出等。提升党校办学质量和教师的教学水平。</w:t>
            </w:r>
          </w:p>
        </w:tc>
        <w:tc>
          <w:tcPr>
            <w:tcW w:w="3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val="en-US" w:eastAsia="zh-CN"/>
              </w:rPr>
              <w:t>用于党校日常教学工作运转，主要包括工资福利类支出，教科研经费支出，日常办公费费支出等。提升党校办学质量和教师的教学水平。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效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4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培训学员数量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4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≥2000人/次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4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培训学员数量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4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≥2000人/次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学员能力提升情况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有一定提升</w:t>
            </w:r>
            <w:bookmarkStart w:id="0" w:name="_GoBack"/>
            <w:bookmarkEnd w:id="0"/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学员能力提升情况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有一定提升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  <w:t>按时缴纳税费、电费等日常支 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  <w:t>100%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  <w:t>按时缴纳税费、电费等日常支 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  <w:t>100%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培训完成时间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  <w:t>按培训协议约 定时间办结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培训完成时间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  <w:t>按培训协议约 定时间办结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社会效益指标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提高培训课程质量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  <w:t>有一定提高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提高培训课程质量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  <w:t>有一定提高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可持续影响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提升学员综合素质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  <w:t>有一定提升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提升学员综合素质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  <w:t>有一定提升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满意度指标</w:t>
            </w: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服务对象满意度指标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教师满意度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  <w:t>≥90%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象满意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度指标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教师满意度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26" w:line="184" w:lineRule="auto"/>
              <w:jc w:val="both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pacing w:val="-3"/>
                <w:sz w:val="20"/>
                <w:szCs w:val="20"/>
              </w:rPr>
              <w:t>≥90%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D3DE4"/>
    <w:rsid w:val="09FD6FB7"/>
    <w:rsid w:val="108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2022-02-10T01:28:00Z</dcterms:created>
  <dc:creator>文档存本地丢失不负责</dc:creator>
  <cp:lastModifiedBy>常小呆的呆小琳</cp:lastModifiedBy>
  <dcterms:modified xsi:type="dcterms:W3CDTF">2022-02-16T07:21:45Z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E70137CF772C449C8A9190DA0203DBC8</vt:lpwstr>
  </property>
</Properties>
</file>