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rPr>
          <w:rFonts w:ascii="宋体" w:hAnsi="宋体" w:cs="宋体"/>
          <w:b/>
          <w:kern w:val="0"/>
          <w:sz w:val="42"/>
          <w:szCs w:val="30"/>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寿县妇女联合会2019年部门预算</w:t>
      </w: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36"/>
          <w:szCs w:val="36"/>
        </w:rPr>
      </w:pPr>
      <w:r>
        <w:rPr>
          <w:rFonts w:hint="eastAsia" w:ascii="黑体" w:hAnsi="黑体" w:eastAsia="黑体"/>
          <w:bCs/>
          <w:sz w:val="36"/>
          <w:szCs w:val="36"/>
        </w:rPr>
        <w:t>2019年3月</w:t>
      </w: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rPr>
          <w:rFonts w:ascii="黑体" w:hAnsi="黑体" w:eastAsia="黑体"/>
          <w:bCs/>
          <w:sz w:val="44"/>
          <w:szCs w:val="44"/>
        </w:rPr>
      </w:pPr>
    </w:p>
    <w:p>
      <w:pPr>
        <w:pStyle w:val="9"/>
        <w:adjustRightInd w:val="0"/>
        <w:snapToGrid w:val="0"/>
        <w:spacing w:before="0" w:beforeAutospacing="0" w:after="0" w:afterAutospacing="0" w:line="440" w:lineRule="exact"/>
        <w:jc w:val="center"/>
        <w:rPr>
          <w:rFonts w:ascii="黑体" w:hAnsi="黑体" w:eastAsia="黑体"/>
          <w:bCs/>
          <w:sz w:val="44"/>
          <w:szCs w:val="44"/>
        </w:rPr>
      </w:pPr>
      <w:r>
        <w:rPr>
          <w:rFonts w:hint="eastAsia" w:ascii="黑体" w:hAnsi="黑体" w:eastAsia="黑体"/>
          <w:bCs/>
          <w:sz w:val="44"/>
          <w:szCs w:val="44"/>
        </w:rPr>
        <w:t>目　录</w:t>
      </w:r>
    </w:p>
    <w:p>
      <w:pPr>
        <w:pStyle w:val="9"/>
        <w:adjustRightInd w:val="0"/>
        <w:snapToGrid w:val="0"/>
        <w:spacing w:before="0" w:beforeAutospacing="0" w:after="0" w:afterAutospacing="0" w:line="440" w:lineRule="exact"/>
        <w:ind w:firstLine="643" w:firstLineChars="200"/>
        <w:jc w:val="both"/>
        <w:rPr>
          <w:rFonts w:ascii="仿宋_GB2312" w:hAnsi="仿宋" w:eastAsia="仿宋_GB2312" w:cs="仿宋"/>
          <w:b/>
          <w:sz w:val="32"/>
          <w:szCs w:val="32"/>
        </w:rPr>
      </w:pPr>
    </w:p>
    <w:p>
      <w:pPr>
        <w:pStyle w:val="9"/>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第一部分 部门概况</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3.2019年度主要工作任务</w:t>
      </w:r>
    </w:p>
    <w:p>
      <w:pPr>
        <w:pStyle w:val="9"/>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第二部分 2019年部门预算表</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1.2019年部门财政拨款收支预算总表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2.2019年部门一般公共预算支出表</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3.2019年部门一般公共预算基本支出预算表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4.2019年部门政府性基金预算支出表</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5.2019年部门国有资本经营预算支出表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6.2019年部门收支预算总表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7.2019年部门收入预算总表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8.2019年部门支出预算总表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9.2019年部门政府采购支出表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10.2019年县级部门专项资金清单</w:t>
      </w:r>
    </w:p>
    <w:p>
      <w:pPr>
        <w:spacing w:line="440" w:lineRule="exact"/>
        <w:ind w:firstLine="200"/>
        <w:jc w:val="left"/>
        <w:rPr>
          <w:rFonts w:ascii="仿宋_GB2312" w:hAnsi="仿宋" w:eastAsia="仿宋_GB2312" w:cs="仿宋"/>
          <w:bCs/>
          <w:kern w:val="0"/>
          <w:sz w:val="32"/>
          <w:szCs w:val="32"/>
        </w:rPr>
      </w:pPr>
      <w:r>
        <w:rPr>
          <w:rFonts w:hint="eastAsia" w:ascii="仿宋_GB2312" w:hAnsi="仿宋" w:eastAsia="仿宋_GB2312" w:cs="仿宋"/>
          <w:bCs/>
          <w:sz w:val="32"/>
          <w:szCs w:val="32"/>
        </w:rPr>
        <w:t xml:space="preserve">   11.</w:t>
      </w:r>
      <w:r>
        <w:rPr>
          <w:rFonts w:hint="eastAsia" w:ascii="仿宋_GB2312" w:hAnsi="仿宋" w:eastAsia="仿宋_GB2312" w:cs="仿宋"/>
          <w:bCs/>
          <w:kern w:val="0"/>
          <w:sz w:val="32"/>
          <w:szCs w:val="32"/>
        </w:rPr>
        <w:t xml:space="preserve"> 2019年“三公”经费支出预算表</w:t>
      </w:r>
    </w:p>
    <w:p>
      <w:pPr>
        <w:pStyle w:val="9"/>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第三部分 2019年部门预算情况说明</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1.关于2019年财政拨款收支预算总体情况说明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2.关于2019年一般公共预算财政拨款情况说明</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3.关于2019年一般公共预算基本支出情况说明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4.关于2019年政府性基金预算拨款情况说明</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5.关于2019年国有资本经营预算拨款情况说明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6.关于2019年收支预算总体情况说明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7.关于2019年收入预算情况说明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8.关于2019年支出预算情况说明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 xml:space="preserve">9.关于2019年“三公”经费财政拨款预算情况说明 </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10.其他重要事项情况说明</w:t>
      </w:r>
    </w:p>
    <w:p>
      <w:pPr>
        <w:pStyle w:val="9"/>
        <w:adjustRightInd w:val="0"/>
        <w:snapToGrid w:val="0"/>
        <w:spacing w:before="0" w:beforeAutospacing="0" w:after="0" w:afterAutospacing="0" w:line="440" w:lineRule="exact"/>
        <w:ind w:firstLine="640" w:firstLineChars="200"/>
        <w:rPr>
          <w:rFonts w:ascii="黑体" w:hAnsi="黑体" w:eastAsia="黑体" w:cs="仿宋"/>
          <w:sz w:val="32"/>
          <w:szCs w:val="32"/>
        </w:rPr>
      </w:pPr>
      <w:r>
        <w:rPr>
          <w:rFonts w:hint="eastAsia" w:ascii="黑体" w:hAnsi="黑体" w:eastAsia="黑体" w:cs="仿宋"/>
          <w:sz w:val="32"/>
          <w:szCs w:val="32"/>
        </w:rPr>
        <w:t>第四部分 名词解释</w:t>
      </w:r>
    </w:p>
    <w:p>
      <w:pPr>
        <w:pStyle w:val="9"/>
        <w:adjustRightInd w:val="0"/>
        <w:snapToGrid w:val="0"/>
        <w:spacing w:before="0" w:beforeAutospacing="0" w:after="0" w:afterAutospacing="0" w:line="600" w:lineRule="exact"/>
        <w:jc w:val="center"/>
        <w:rPr>
          <w:rFonts w:ascii="方正小标宋_GBK" w:hAnsi="黑体" w:eastAsia="方正小标宋_GBK"/>
          <w:bCs/>
          <w:sz w:val="44"/>
          <w:szCs w:val="44"/>
        </w:rPr>
      </w:pPr>
      <w:r>
        <w:rPr>
          <w:rFonts w:hint="eastAsia" w:ascii="方正小标宋_GBK" w:hAnsi="黑体" w:eastAsia="方正小标宋_GBK"/>
          <w:bCs/>
          <w:sz w:val="44"/>
          <w:szCs w:val="44"/>
        </w:rPr>
        <w:t>第一部分 部门概况</w:t>
      </w:r>
    </w:p>
    <w:p>
      <w:pPr>
        <w:pStyle w:val="9"/>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一、主要职责</w:t>
      </w:r>
    </w:p>
    <w:p>
      <w:pPr>
        <w:pStyle w:val="9"/>
        <w:adjustRightInd w:val="0"/>
        <w:snapToGrid w:val="0"/>
        <w:spacing w:before="0" w:beforeAutospacing="0" w:after="0" w:afterAutospacing="0" w:line="60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教育、引导全县广大妇女发扬自尊、自信、自立、自强的精神，提高综合素质，投身和参与社会活动，促进经济发展和社会全面发展。代表妇女参与国家和社会事务的民主管理、民主监督，积极实施中国妇女和儿童发展纲要，维护妇女儿童合法权益，促进男女平等。</w:t>
      </w:r>
    </w:p>
    <w:p>
      <w:pPr>
        <w:pStyle w:val="9"/>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二、部门预算单位构成</w:t>
      </w:r>
    </w:p>
    <w:p>
      <w:pPr>
        <w:pStyle w:val="9"/>
        <w:adjustRightInd w:val="0"/>
        <w:snapToGrid w:val="0"/>
        <w:spacing w:before="0" w:beforeAutospacing="0" w:after="0" w:afterAutospacing="0" w:line="60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从预算单位构成看，寿县妇女联合会2019年度部门预算包括局本级和局属单位预算，纳入寿县妇女联合会2019年度部门预算编制范围的单位共3个，分别是寿县妇女联合会本级及三个驻外办事处。具体情况见下表。</w:t>
      </w:r>
    </w:p>
    <w:tbl>
      <w:tblPr>
        <w:tblStyle w:val="11"/>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477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9" w:type="dxa"/>
            <w:vAlign w:val="center"/>
          </w:tcPr>
          <w:p>
            <w:pPr>
              <w:pStyle w:val="5"/>
              <w:jc w:val="center"/>
              <w:rPr>
                <w:rFonts w:ascii="黑体" w:hAnsi="黑体" w:eastAsia="黑体"/>
                <w:sz w:val="28"/>
                <w:szCs w:val="28"/>
              </w:rPr>
            </w:pPr>
            <w:r>
              <w:rPr>
                <w:rFonts w:hint="eastAsia" w:ascii="黑体" w:hAnsi="黑体" w:eastAsia="黑体"/>
                <w:sz w:val="28"/>
                <w:szCs w:val="28"/>
              </w:rPr>
              <w:t>序号</w:t>
            </w:r>
          </w:p>
        </w:tc>
        <w:tc>
          <w:tcPr>
            <w:tcW w:w="4775" w:type="dxa"/>
            <w:vAlign w:val="center"/>
          </w:tcPr>
          <w:p>
            <w:pPr>
              <w:pStyle w:val="5"/>
              <w:jc w:val="center"/>
              <w:rPr>
                <w:rFonts w:ascii="黑体" w:hAnsi="黑体" w:eastAsia="黑体"/>
                <w:sz w:val="28"/>
                <w:szCs w:val="28"/>
              </w:rPr>
            </w:pPr>
            <w:r>
              <w:rPr>
                <w:rFonts w:hint="eastAsia" w:ascii="黑体" w:hAnsi="黑体" w:eastAsia="黑体"/>
                <w:sz w:val="28"/>
                <w:szCs w:val="28"/>
              </w:rPr>
              <w:t>单位名称</w:t>
            </w:r>
          </w:p>
        </w:tc>
        <w:tc>
          <w:tcPr>
            <w:tcW w:w="3032" w:type="dxa"/>
            <w:vAlign w:val="center"/>
          </w:tcPr>
          <w:p>
            <w:pPr>
              <w:pStyle w:val="5"/>
              <w:jc w:val="center"/>
              <w:rPr>
                <w:rFonts w:ascii="黑体" w:hAnsi="黑体" w:eastAsia="黑体"/>
                <w:sz w:val="28"/>
                <w:szCs w:val="28"/>
              </w:rPr>
            </w:pPr>
            <w:r>
              <w:rPr>
                <w:rFonts w:hint="eastAsia" w:ascii="黑体" w:hAnsi="黑体" w:eastAsia="黑体"/>
                <w:sz w:val="28"/>
                <w:szCs w:val="28"/>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9" w:type="dxa"/>
            <w:vAlign w:val="center"/>
          </w:tcPr>
          <w:p>
            <w:pPr>
              <w:pStyle w:val="5"/>
              <w:jc w:val="center"/>
              <w:rPr>
                <w:rFonts w:ascii="仿宋_GB2312" w:eastAsia="仿宋_GB2312"/>
                <w:sz w:val="28"/>
                <w:szCs w:val="28"/>
              </w:rPr>
            </w:pPr>
            <w:r>
              <w:rPr>
                <w:rFonts w:hint="eastAsia" w:ascii="仿宋_GB2312" w:eastAsia="仿宋_GB2312"/>
                <w:sz w:val="28"/>
                <w:szCs w:val="28"/>
              </w:rPr>
              <w:t>1</w:t>
            </w:r>
          </w:p>
        </w:tc>
        <w:tc>
          <w:tcPr>
            <w:tcW w:w="4775" w:type="dxa"/>
            <w:vAlign w:val="center"/>
          </w:tcPr>
          <w:p>
            <w:pPr>
              <w:pStyle w:val="5"/>
              <w:jc w:val="center"/>
              <w:rPr>
                <w:rFonts w:ascii="仿宋_GB2312" w:eastAsia="仿宋_GB2312"/>
                <w:sz w:val="28"/>
                <w:szCs w:val="28"/>
              </w:rPr>
            </w:pPr>
            <w:r>
              <w:rPr>
                <w:rFonts w:hint="eastAsia" w:ascii="仿宋_GB2312" w:eastAsia="仿宋_GB2312"/>
                <w:sz w:val="28"/>
                <w:szCs w:val="28"/>
              </w:rPr>
              <w:t>寿县妇女联合会</w:t>
            </w:r>
          </w:p>
        </w:tc>
        <w:tc>
          <w:tcPr>
            <w:tcW w:w="3032" w:type="dxa"/>
            <w:vAlign w:val="center"/>
          </w:tcPr>
          <w:p>
            <w:pPr>
              <w:pStyle w:val="5"/>
              <w:jc w:val="center"/>
              <w:rPr>
                <w:rFonts w:ascii="仿宋_GB2312" w:eastAsia="仿宋_GB2312"/>
                <w:sz w:val="28"/>
                <w:szCs w:val="28"/>
              </w:rPr>
            </w:pPr>
            <w:r>
              <w:rPr>
                <w:rFonts w:hint="eastAsia" w:ascii="仿宋_GB2312" w:eastAsia="仿宋_GB2312"/>
                <w:sz w:val="28"/>
                <w:szCs w:val="28"/>
              </w:rPr>
              <w:t>行政单位</w:t>
            </w:r>
          </w:p>
        </w:tc>
      </w:tr>
    </w:tbl>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三、2019年度主要工作任务</w:t>
      </w:r>
    </w:p>
    <w:p>
      <w:pPr>
        <w:pStyle w:val="9"/>
        <w:adjustRightInd w:val="0"/>
        <w:snapToGrid w:val="0"/>
        <w:spacing w:before="0" w:beforeAutospacing="0" w:after="0" w:afterAutospacing="0" w:line="600" w:lineRule="exact"/>
        <w:ind w:firstLine="640" w:firstLineChars="200"/>
        <w:rPr>
          <w:rFonts w:ascii="仿宋_GB2312" w:hAnsi="仿宋_GB2312" w:eastAsia="仿宋_GB2312" w:cs="仿宋_GB2312"/>
          <w:kern w:val="1"/>
          <w:sz w:val="32"/>
          <w:szCs w:val="32"/>
        </w:rPr>
      </w:pPr>
      <w:r>
        <w:rPr>
          <w:rFonts w:eastAsia="仿宋_GB2312"/>
          <w:kern w:val="1"/>
          <w:sz w:val="32"/>
          <w:szCs w:val="32"/>
        </w:rPr>
        <w:t>2019</w:t>
      </w:r>
      <w:r>
        <w:rPr>
          <w:rFonts w:hint="eastAsia" w:ascii="仿宋_GB2312" w:hAnsi="仿宋_GB2312" w:eastAsia="仿宋_GB2312" w:cs="仿宋_GB2312"/>
          <w:kern w:val="1"/>
          <w:sz w:val="32"/>
          <w:szCs w:val="32"/>
        </w:rPr>
        <w:t>年全县妇联工作总体思路是：以习近平新时代中国特色社会主义思想和党的十九大、十九届二中、三中全会精神为指导，深入学习宣传贯彻中国妇女十二大、安徽省妇女十三大会议精神，围绕县委、县政府中心工作，不忘初心、牢记使命、凝心聚力、砥砺奋进，在加强妇女思想引领、服务妇女就业创业、弘扬家庭文明新风、深化妇联改革创新等方面下功夫，团结动员广大妇女为加快构建“南工北旅生态县”作出新贡献。</w:t>
      </w:r>
    </w:p>
    <w:p>
      <w:pPr>
        <w:widowControl/>
        <w:adjustRightInd w:val="0"/>
        <w:snapToGrid w:val="0"/>
        <w:spacing w:line="600" w:lineRule="exact"/>
        <w:ind w:left="640"/>
        <w:rPr>
          <w:rFonts w:ascii="黑体" w:hAnsi="黑体" w:eastAsia="黑体"/>
          <w:sz w:val="32"/>
          <w:szCs w:val="32"/>
        </w:rPr>
      </w:pPr>
      <w:r>
        <w:rPr>
          <w:rFonts w:hint="eastAsia" w:ascii="黑体" w:hAnsi="黑体" w:eastAsia="黑体"/>
          <w:sz w:val="32"/>
          <w:szCs w:val="32"/>
        </w:rPr>
        <w:t>一、注</w:t>
      </w:r>
      <w:r>
        <w:rPr>
          <w:rFonts w:ascii="黑体" w:hAnsi="黑体" w:eastAsia="黑体"/>
          <w:sz w:val="32"/>
          <w:szCs w:val="32"/>
        </w:rPr>
        <w:t>重</w:t>
      </w:r>
      <w:r>
        <w:rPr>
          <w:rFonts w:hint="eastAsia" w:ascii="黑体" w:hAnsi="黑体" w:eastAsia="黑体"/>
          <w:sz w:val="32"/>
          <w:szCs w:val="32"/>
        </w:rPr>
        <w:t>宣传，强化妇女思想引领</w:t>
      </w:r>
    </w:p>
    <w:p>
      <w:pPr>
        <w:spacing w:line="600" w:lineRule="exact"/>
        <w:ind w:firstLine="652" w:firstLineChars="200"/>
        <w:rPr>
          <w:rFonts w:ascii="仿宋_GB2312" w:hAnsi="仿宋_GB2312" w:eastAsia="仿宋_GB2312"/>
          <w:spacing w:val="3"/>
          <w:sz w:val="32"/>
          <w:szCs w:val="32"/>
        </w:rPr>
      </w:pPr>
      <w:r>
        <w:rPr>
          <w:rFonts w:hint="eastAsia" w:ascii="楷体_GB2312" w:eastAsia="楷体_GB2312"/>
          <w:spacing w:val="3"/>
          <w:sz w:val="32"/>
          <w:szCs w:val="32"/>
        </w:rPr>
        <w:t>1.深入开展大学习活动。</w:t>
      </w:r>
      <w:r>
        <w:rPr>
          <w:rStyle w:val="13"/>
          <w:rFonts w:hint="eastAsia" w:ascii="仿宋_GB2312" w:hAnsi="仿宋_GB2312" w:eastAsia="仿宋_GB2312" w:cs="仿宋_GB2312"/>
          <w:b w:val="0"/>
          <w:bCs w:val="0"/>
          <w:sz w:val="32"/>
          <w:szCs w:val="32"/>
        </w:rPr>
        <w:t>以学习宣传贯彻</w:t>
      </w:r>
      <w:r>
        <w:rPr>
          <w:rFonts w:hint="eastAsia" w:ascii="仿宋_GB2312" w:hAnsi="仿宋" w:eastAsia="仿宋_GB2312"/>
          <w:sz w:val="32"/>
          <w:szCs w:val="32"/>
        </w:rPr>
        <w:t>习近平新时代中国特色社会主义思想和党的十九大</w:t>
      </w:r>
      <w:r>
        <w:rPr>
          <w:rStyle w:val="13"/>
          <w:rFonts w:hint="eastAsia" w:ascii="仿宋_GB2312" w:hAnsi="仿宋_GB2312" w:eastAsia="仿宋_GB2312" w:cs="仿宋_GB2312"/>
          <w:b w:val="0"/>
          <w:bCs w:val="0"/>
          <w:sz w:val="32"/>
          <w:szCs w:val="32"/>
        </w:rPr>
        <w:t>、</w:t>
      </w:r>
      <w:r>
        <w:rPr>
          <w:rFonts w:hint="eastAsia" w:ascii="仿宋_GB2312" w:hAnsi="仿宋_GB2312" w:eastAsia="仿宋_GB2312" w:cs="仿宋_GB2312"/>
          <w:kern w:val="1"/>
          <w:sz w:val="32"/>
          <w:szCs w:val="32"/>
        </w:rPr>
        <w:t>十九届二中、三中全会、</w:t>
      </w:r>
      <w:r>
        <w:rPr>
          <w:rStyle w:val="13"/>
          <w:rFonts w:hint="eastAsia" w:ascii="仿宋_GB2312" w:hAnsi="仿宋_GB2312" w:eastAsia="仿宋_GB2312" w:cs="仿宋_GB2312"/>
          <w:b w:val="0"/>
          <w:bCs w:val="0"/>
          <w:sz w:val="32"/>
          <w:szCs w:val="32"/>
        </w:rPr>
        <w:t>中国妇女十二大、省妇女十三大会议精神为统领，持续深入开展“巾帼心向党·建功新时代”系列活动。</w:t>
      </w:r>
      <w:r>
        <w:rPr>
          <w:rFonts w:hint="eastAsia" w:ascii="仿宋_GB2312" w:hAnsi="仿宋_GB2312" w:eastAsia="仿宋_GB2312" w:cs="仿宋_GB2312"/>
          <w:sz w:val="32"/>
          <w:szCs w:val="32"/>
        </w:rPr>
        <w:t>拟举办庆祝“三八”国际劳动妇女节第</w:t>
      </w:r>
      <w:r>
        <w:rPr>
          <w:rStyle w:val="13"/>
          <w:rFonts w:hint="eastAsia" w:eastAsia="仿宋_GB2312"/>
          <w:b w:val="0"/>
          <w:bCs w:val="0"/>
          <w:sz w:val="32"/>
          <w:szCs w:val="32"/>
        </w:rPr>
        <w:t>109</w:t>
      </w:r>
      <w:r>
        <w:rPr>
          <w:rFonts w:hint="eastAsia" w:ascii="仿宋_GB2312" w:hAnsi="仿宋_GB2312" w:eastAsia="仿宋_GB2312" w:cs="仿宋_GB2312"/>
          <w:sz w:val="32"/>
          <w:szCs w:val="32"/>
        </w:rPr>
        <w:t>周年纪念表彰暨全县妇女工作会议，</w:t>
      </w:r>
      <w:r>
        <w:rPr>
          <w:rStyle w:val="13"/>
          <w:rFonts w:hint="eastAsia" w:ascii="仿宋_GB2312" w:hAnsi="仿宋_GB2312" w:eastAsia="仿宋_GB2312" w:cs="仿宋_GB2312"/>
          <w:b w:val="0"/>
          <w:bCs w:val="0"/>
          <w:sz w:val="32"/>
          <w:szCs w:val="32"/>
        </w:rPr>
        <w:t>宣传表彰一批优秀妇女典型。</w:t>
      </w:r>
    </w:p>
    <w:p>
      <w:pPr>
        <w:spacing w:line="600" w:lineRule="exact"/>
        <w:ind w:firstLine="640"/>
        <w:rPr>
          <w:rStyle w:val="13"/>
          <w:rFonts w:ascii="仿宋_GB2312" w:hAnsi="仿宋_GB2312" w:eastAsia="仿宋_GB2312" w:cs="仿宋_GB2312"/>
          <w:b w:val="0"/>
          <w:bCs w:val="0"/>
          <w:sz w:val="32"/>
          <w:szCs w:val="32"/>
        </w:rPr>
      </w:pPr>
      <w:r>
        <w:rPr>
          <w:rFonts w:hint="eastAsia" w:ascii="楷体_GB2312" w:eastAsia="楷体_GB2312"/>
          <w:spacing w:val="3"/>
          <w:sz w:val="32"/>
          <w:szCs w:val="32"/>
        </w:rPr>
        <w:t>2.广泛开展大宣讲活动。</w:t>
      </w:r>
      <w:r>
        <w:rPr>
          <w:rStyle w:val="13"/>
          <w:rFonts w:hint="eastAsia" w:ascii="仿宋_GB2312" w:hAnsi="仿宋_GB2312" w:eastAsia="仿宋_GB2312" w:cs="仿宋_GB2312"/>
          <w:b w:val="0"/>
          <w:bCs w:val="0"/>
          <w:sz w:val="32"/>
          <w:szCs w:val="32"/>
        </w:rPr>
        <w:t>深入开展“百千万巾帼大宣讲”活动，推动建立县、乡镇、村(社区)妇联组织三级联动宣传机制。以城乡社区“妇女儿童之家”为主阵地,继续深入开展“巾帼传习走基层”活动,组建百千万巾帼大宣讲工作骨干队伍，以面对面、互动式宣传宣讲,把党的声音更广泛传递给基层妇女群众。</w:t>
      </w:r>
    </w:p>
    <w:p>
      <w:pPr>
        <w:spacing w:line="600" w:lineRule="exact"/>
        <w:ind w:firstLine="640"/>
        <w:rPr>
          <w:rStyle w:val="13"/>
          <w:rFonts w:ascii="仿宋_GB2312" w:hAnsi="仿宋_GB2312" w:eastAsia="仿宋_GB2312" w:cs="仿宋_GB2312"/>
          <w:b w:val="0"/>
          <w:bCs w:val="0"/>
          <w:sz w:val="32"/>
          <w:szCs w:val="32"/>
        </w:rPr>
      </w:pPr>
      <w:r>
        <w:rPr>
          <w:rFonts w:hint="eastAsia" w:ascii="楷体_GB2312" w:eastAsia="楷体_GB2312"/>
          <w:spacing w:val="3"/>
          <w:sz w:val="32"/>
          <w:szCs w:val="32"/>
        </w:rPr>
        <w:t>3.切实掌握意识形态主动权。</w:t>
      </w:r>
      <w:r>
        <w:rPr>
          <w:rFonts w:ascii="仿宋_GB2312" w:hAnsi="仿宋_GB2312" w:eastAsia="仿宋_GB2312"/>
          <w:spacing w:val="3"/>
          <w:sz w:val="32"/>
          <w:szCs w:val="32"/>
        </w:rPr>
        <w:t>从</w:t>
      </w:r>
      <w:r>
        <w:rPr>
          <w:rStyle w:val="13"/>
          <w:rFonts w:hint="eastAsia" w:ascii="仿宋_GB2312" w:hAnsi="仿宋_GB2312" w:eastAsia="仿宋_GB2312" w:cs="仿宋_GB2312"/>
          <w:b w:val="0"/>
          <w:bCs w:val="0"/>
          <w:sz w:val="32"/>
          <w:szCs w:val="32"/>
        </w:rPr>
        <w:t>严落实意识形态工作责任制，牢牢把握妇女思想政治工作方向。根据中央、省委、市委、县委的统一部署，围绕做好迎接新中国成立</w:t>
      </w:r>
      <w:r>
        <w:rPr>
          <w:rStyle w:val="13"/>
          <w:rFonts w:eastAsia="仿宋_GB2312"/>
          <w:b w:val="0"/>
          <w:bCs w:val="0"/>
          <w:sz w:val="32"/>
          <w:szCs w:val="32"/>
        </w:rPr>
        <w:t>70</w:t>
      </w:r>
      <w:r>
        <w:rPr>
          <w:rStyle w:val="13"/>
          <w:rFonts w:hint="eastAsia" w:ascii="仿宋_GB2312" w:hAnsi="仿宋_GB2312" w:eastAsia="仿宋_GB2312" w:cs="仿宋_GB2312"/>
          <w:b w:val="0"/>
          <w:bCs w:val="0"/>
          <w:sz w:val="32"/>
          <w:szCs w:val="32"/>
        </w:rPr>
        <w:t>周年、践行社会主义核心价值观、创建省级文明县等中心工作，精心组织好各类形式多样、群众喜闻乐见的主题宣传教育系列活动，把党的决策部署变成妇女群众的自觉行动，进一步凝聚妇女思想共识，形成团结奋进的强大正能量。</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二、注</w:t>
      </w:r>
      <w:r>
        <w:rPr>
          <w:rFonts w:ascii="黑体" w:hAnsi="黑体" w:eastAsia="黑体"/>
          <w:sz w:val="32"/>
          <w:szCs w:val="32"/>
        </w:rPr>
        <w:t>重</w:t>
      </w:r>
      <w:r>
        <w:rPr>
          <w:rFonts w:hint="eastAsia" w:ascii="黑体" w:hAnsi="黑体" w:eastAsia="黑体"/>
          <w:sz w:val="32"/>
          <w:szCs w:val="32"/>
        </w:rPr>
        <w:t>服务，</w:t>
      </w:r>
      <w:r>
        <w:rPr>
          <w:rFonts w:ascii="黑体" w:hAnsi="黑体" w:eastAsia="黑体"/>
          <w:sz w:val="32"/>
          <w:szCs w:val="32"/>
        </w:rPr>
        <w:t>推动妇女创业就业</w:t>
      </w:r>
    </w:p>
    <w:p>
      <w:pPr>
        <w:spacing w:line="600" w:lineRule="exact"/>
        <w:ind w:firstLine="630"/>
        <w:rPr>
          <w:rStyle w:val="13"/>
          <w:rFonts w:ascii="仿宋_GB2312" w:hAnsi="仿宋_GB2312" w:eastAsia="仿宋_GB2312" w:cs="仿宋_GB2312"/>
          <w:b w:val="0"/>
          <w:bCs w:val="0"/>
          <w:sz w:val="32"/>
          <w:szCs w:val="32"/>
        </w:rPr>
      </w:pPr>
      <w:r>
        <w:rPr>
          <w:rFonts w:hint="eastAsia" w:ascii="楷体_GB2312" w:eastAsia="楷体_GB2312"/>
          <w:spacing w:val="3"/>
          <w:sz w:val="32"/>
          <w:szCs w:val="32"/>
        </w:rPr>
        <w:t>4.着力服务大局，推动城市发展。</w:t>
      </w:r>
      <w:r>
        <w:rPr>
          <w:rStyle w:val="13"/>
          <w:rFonts w:hint="eastAsia" w:ascii="仿宋_GB2312" w:hAnsi="仿宋_GB2312" w:eastAsia="仿宋_GB2312" w:cs="仿宋_GB2312"/>
          <w:b w:val="0"/>
          <w:bCs w:val="0"/>
          <w:sz w:val="32"/>
          <w:szCs w:val="32"/>
        </w:rPr>
        <w:t>以庆祝中华人民共和国成立</w:t>
      </w:r>
      <w:r>
        <w:rPr>
          <w:rStyle w:val="13"/>
          <w:rFonts w:eastAsia="仿宋_GB2312"/>
          <w:b w:val="0"/>
          <w:bCs w:val="0"/>
          <w:sz w:val="32"/>
          <w:szCs w:val="32"/>
        </w:rPr>
        <w:t>70</w:t>
      </w:r>
      <w:r>
        <w:rPr>
          <w:rStyle w:val="13"/>
          <w:rFonts w:hint="eastAsia" w:ascii="仿宋_GB2312" w:hAnsi="仿宋_GB2312" w:eastAsia="仿宋_GB2312" w:cs="仿宋_GB2312"/>
          <w:b w:val="0"/>
          <w:bCs w:val="0"/>
          <w:sz w:val="32"/>
          <w:szCs w:val="32"/>
        </w:rPr>
        <w:t>周年和创建全国文明县为主线，在巾帼文明岗中广泛开展“巾帼心向党 建功新时代”系列活动，举办“凝聚她力量·共创文明县”巾帼林义务植树活动，举办巾帼文明岗文明礼仪风采展示大赛。</w:t>
      </w:r>
      <w:bookmarkStart w:id="0" w:name="_GoBack"/>
      <w:bookmarkEnd w:id="0"/>
    </w:p>
    <w:p>
      <w:pPr>
        <w:spacing w:line="600" w:lineRule="exact"/>
        <w:ind w:firstLine="630"/>
        <w:rPr>
          <w:rStyle w:val="13"/>
          <w:rFonts w:ascii="仿宋_GB2312" w:hAnsi="仿宋_GB2312" w:eastAsia="仿宋_GB2312" w:cs="仿宋_GB2312"/>
          <w:b w:val="0"/>
          <w:bCs w:val="0"/>
          <w:sz w:val="32"/>
          <w:szCs w:val="32"/>
        </w:rPr>
      </w:pPr>
      <w:r>
        <w:rPr>
          <w:rFonts w:hint="eastAsia" w:ascii="楷体_GB2312" w:eastAsia="楷体_GB2312"/>
          <w:spacing w:val="3"/>
          <w:sz w:val="32"/>
          <w:szCs w:val="32"/>
        </w:rPr>
        <w:t>5.着力巾帼脱贫，推动乡村振兴。</w:t>
      </w:r>
      <w:r>
        <w:rPr>
          <w:rStyle w:val="13"/>
          <w:rFonts w:hint="eastAsia" w:ascii="仿宋_GB2312" w:hAnsi="仿宋_GB2312" w:eastAsia="仿宋_GB2312" w:cs="仿宋_GB2312"/>
          <w:b w:val="0"/>
          <w:bCs w:val="0"/>
          <w:sz w:val="32"/>
          <w:szCs w:val="32"/>
        </w:rPr>
        <w:t>围绕中央、省、市、县精准扶贫、精准脱贫总体部署，开展“巾帼脱贫行动”。召开乡村振兴巾帼行动现场推进会。继续开展“家政服务”牵手贫困妇女活动，引导动员巾帼文明岗、女企业家与贫困村、贫困妇女结对子。大力培树增收致富妇女典型，宣传富民政策、讲好富民故事，发挥“徽姑娘”就业创业示范基地、巾帼脱贫示范基地、巾帼合作组织带动引领作用，采取“基地+贫困妇女”、“合作社+贫困妇女”等扶贫模式，带动贫困妇女脱贫致富。</w:t>
      </w:r>
    </w:p>
    <w:p>
      <w:pPr>
        <w:spacing w:line="600" w:lineRule="exact"/>
        <w:ind w:firstLine="630"/>
        <w:rPr>
          <w:rFonts w:ascii="黑体" w:hAnsi="黑体" w:eastAsia="黑体"/>
          <w:sz w:val="32"/>
          <w:szCs w:val="32"/>
        </w:rPr>
      </w:pPr>
      <w:r>
        <w:rPr>
          <w:rFonts w:hint="eastAsia" w:ascii="楷体_GB2312" w:eastAsia="楷体_GB2312"/>
          <w:spacing w:val="3"/>
          <w:sz w:val="32"/>
          <w:szCs w:val="32"/>
        </w:rPr>
        <w:t>6.着力创新创业，推动妇女就业。</w:t>
      </w:r>
      <w:r>
        <w:rPr>
          <w:rStyle w:val="13"/>
          <w:rFonts w:hint="eastAsia" w:ascii="仿宋_GB2312" w:hAnsi="仿宋_GB2312" w:eastAsia="仿宋_GB2312" w:cs="仿宋_GB2312"/>
          <w:b w:val="0"/>
          <w:bCs w:val="0"/>
          <w:sz w:val="32"/>
          <w:szCs w:val="32"/>
        </w:rPr>
        <w:t>开展城乡妇女实用技术培训，为妇女群众送知识、送技能、送政策、送资金。开展春风行动女性专场招聘会宣传活动，召开女民营企业家发展座谈会，继续做好创业妇女小额信贷工作，为更多城乡女性提供精准服务。做好徽姑娘女子专业合作社和农家乐项目实施，开展徽姑娘农家乐旅游品牌“六个一”提升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三、注</w:t>
      </w:r>
      <w:r>
        <w:rPr>
          <w:rFonts w:ascii="黑体" w:hAnsi="黑体" w:eastAsia="黑体"/>
          <w:sz w:val="32"/>
          <w:szCs w:val="32"/>
        </w:rPr>
        <w:t>重</w:t>
      </w:r>
      <w:r>
        <w:rPr>
          <w:rFonts w:hint="eastAsia" w:ascii="黑体" w:hAnsi="黑体" w:eastAsia="黑体"/>
          <w:sz w:val="32"/>
          <w:szCs w:val="32"/>
        </w:rPr>
        <w:t>关爱，</w:t>
      </w:r>
      <w:r>
        <w:rPr>
          <w:rFonts w:ascii="黑体" w:hAnsi="黑体" w:eastAsia="黑体"/>
          <w:sz w:val="32"/>
          <w:szCs w:val="32"/>
        </w:rPr>
        <w:t>保障</w:t>
      </w:r>
      <w:r>
        <w:rPr>
          <w:rFonts w:hint="eastAsia" w:ascii="黑体" w:hAnsi="黑体" w:eastAsia="黑体"/>
          <w:sz w:val="32"/>
          <w:szCs w:val="32"/>
        </w:rPr>
        <w:t>妇儿</w:t>
      </w:r>
      <w:r>
        <w:rPr>
          <w:rFonts w:ascii="黑体" w:hAnsi="黑体" w:eastAsia="黑体"/>
          <w:sz w:val="32"/>
          <w:szCs w:val="32"/>
        </w:rPr>
        <w:t>民生</w:t>
      </w:r>
      <w:r>
        <w:rPr>
          <w:rFonts w:hint="eastAsia" w:ascii="黑体" w:hAnsi="黑体" w:eastAsia="黑体"/>
          <w:sz w:val="32"/>
          <w:szCs w:val="32"/>
        </w:rPr>
        <w:t>福祉</w:t>
      </w:r>
    </w:p>
    <w:p>
      <w:pPr>
        <w:spacing w:line="600" w:lineRule="exact"/>
        <w:ind w:firstLine="652" w:firstLineChars="200"/>
        <w:rPr>
          <w:rFonts w:ascii="仿宋_GB2312" w:hAnsi="仿宋_GB2312" w:eastAsia="仿宋_GB2312"/>
          <w:sz w:val="32"/>
          <w:szCs w:val="32"/>
        </w:rPr>
      </w:pPr>
      <w:r>
        <w:rPr>
          <w:rFonts w:hint="eastAsia" w:ascii="楷体_GB2312" w:eastAsia="楷体_GB2312"/>
          <w:spacing w:val="3"/>
          <w:sz w:val="32"/>
          <w:szCs w:val="32"/>
        </w:rPr>
        <w:t>7.优化发展环境，提升妇儿幸福感。</w:t>
      </w:r>
      <w:r>
        <w:rPr>
          <w:rFonts w:hint="eastAsia" w:ascii="仿宋_GB2312" w:hAnsi="仿宋_GB2312" w:eastAsia="仿宋_GB2312"/>
          <w:sz w:val="32"/>
          <w:szCs w:val="32"/>
        </w:rPr>
        <w:t>适时召开全县妇女儿童工作会议。</w:t>
      </w:r>
      <w:r>
        <w:rPr>
          <w:rFonts w:ascii="仿宋_GB2312" w:hAnsi="仿宋_GB2312" w:eastAsia="仿宋_GB2312"/>
          <w:sz w:val="32"/>
          <w:szCs w:val="32"/>
        </w:rPr>
        <w:t>开展两纲终期达标重难点指标专项督查</w:t>
      </w:r>
      <w:r>
        <w:rPr>
          <w:rFonts w:hint="eastAsia" w:ascii="仿宋_GB2312" w:hAnsi="仿宋" w:eastAsia="仿宋_GB2312"/>
          <w:sz w:val="32"/>
          <w:szCs w:val="32"/>
        </w:rPr>
        <w:t>，推动各项指标</w:t>
      </w:r>
      <w:r>
        <w:rPr>
          <w:rFonts w:hint="eastAsia" w:ascii="仿宋_GB2312" w:hAnsi="仿宋_GB2312" w:eastAsia="仿宋_GB2312"/>
          <w:sz w:val="32"/>
          <w:szCs w:val="32"/>
        </w:rPr>
        <w:t>如期达标。着眼新时代新发展新要求，组织新一轮妇女儿童发展纲要编制工作调研。促进妇女儿童事业与全县经济社会发展同步规划、同步实施、同步推进。</w:t>
      </w:r>
    </w:p>
    <w:p>
      <w:pPr>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8.创新维权手段，增加妇儿安全感。</w:t>
      </w:r>
      <w:r>
        <w:rPr>
          <w:rFonts w:hint="eastAsia" w:ascii="仿宋_GB2312" w:hAnsi="仿宋_GB2312" w:eastAsia="仿宋_GB2312"/>
          <w:sz w:val="32"/>
          <w:szCs w:val="32"/>
        </w:rPr>
        <w:t>创新开展“巾帼促和谐”系列行动。把社会主义核心价值观融入普法宣传教育活动，开展创建平安家庭“法德讲堂”进家庭活动。深化“建设法治中国·巾帼在行动”活动。成立县、乡婚姻家庭纠纷人民调解委员会，加强“</w:t>
      </w:r>
      <w:r>
        <w:rPr>
          <w:rFonts w:ascii="仿宋_GB2312" w:hAnsi="仿宋_GB2312" w:eastAsia="仿宋_GB2312"/>
          <w:sz w:val="32"/>
          <w:szCs w:val="32"/>
        </w:rPr>
        <w:t>12338</w:t>
      </w:r>
      <w:r>
        <w:rPr>
          <w:rFonts w:hint="eastAsia" w:ascii="仿宋_GB2312" w:hAnsi="仿宋_GB2312" w:eastAsia="仿宋_GB2312"/>
          <w:sz w:val="32"/>
          <w:szCs w:val="32"/>
        </w:rPr>
        <w:t>”妇女维权服务热线建设，创新维权服务途径办法。</w:t>
      </w:r>
    </w:p>
    <w:p>
      <w:pPr>
        <w:spacing w:line="600" w:lineRule="exact"/>
        <w:ind w:firstLine="640" w:firstLineChars="200"/>
        <w:rPr>
          <w:rFonts w:ascii="仿宋_GB2312" w:hAnsi="仿宋_GB2312" w:eastAsia="仿宋_GB2312"/>
          <w:sz w:val="32"/>
          <w:szCs w:val="32"/>
        </w:rPr>
      </w:pPr>
      <w:r>
        <w:rPr>
          <w:rFonts w:hint="eastAsia" w:ascii="楷体_GB2312" w:hAnsi="仿宋_GB2312" w:eastAsia="楷体_GB2312"/>
          <w:sz w:val="32"/>
          <w:szCs w:val="32"/>
        </w:rPr>
        <w:t>9、健全关爱帮扶，保障妇儿获得感。</w:t>
      </w:r>
      <w:r>
        <w:rPr>
          <w:rFonts w:hint="eastAsia" w:ascii="仿宋_GB2312" w:hAnsi="仿宋_GB2312" w:eastAsia="仿宋_GB2312" w:cs="仿宋_GB2312"/>
          <w:sz w:val="32"/>
          <w:szCs w:val="32"/>
        </w:rPr>
        <w:t>持续开展农村留守妇女儿童关爱、妇女创业担保贷款、农村妇女“两癌”免费检查和救助、</w:t>
      </w:r>
      <w:r>
        <w:rPr>
          <w:rFonts w:hint="eastAsia" w:ascii="仿宋_GB2312" w:hAnsi="仿宋" w:eastAsia="仿宋_GB2312" w:cs="仿宋"/>
          <w:kern w:val="1"/>
          <w:sz w:val="32"/>
          <w:szCs w:val="32"/>
        </w:rPr>
        <w:t>“春蕾计划”、</w:t>
      </w:r>
      <w:r>
        <w:rPr>
          <w:rFonts w:hint="eastAsia" w:ascii="仿宋_GB2312" w:hAnsi="仿宋" w:eastAsia="仿宋_GB2312"/>
          <w:sz w:val="32"/>
          <w:szCs w:val="32"/>
        </w:rPr>
        <w:t>“救助百名贫困母亲”</w:t>
      </w:r>
      <w:r>
        <w:rPr>
          <w:rFonts w:hint="eastAsia" w:ascii="仿宋_GB2312" w:hAnsi="仿宋_GB2312" w:eastAsia="仿宋_GB2312" w:cs="仿宋_GB2312"/>
          <w:sz w:val="32"/>
          <w:szCs w:val="32"/>
        </w:rPr>
        <w:t>等工作，积极实施惠及妇女儿童特别是困难群体的公益慈善项目，</w:t>
      </w:r>
      <w:r>
        <w:rPr>
          <w:rFonts w:hint="eastAsia" w:ascii="仿宋_GB2312" w:hAnsi="仿宋_GB2312" w:eastAsia="仿宋_GB2312"/>
          <w:sz w:val="32"/>
          <w:szCs w:val="32"/>
        </w:rPr>
        <w:t>积极动员社会力量为贫困妇女儿童做好事办实事，</w:t>
      </w:r>
      <w:r>
        <w:rPr>
          <w:rFonts w:hint="eastAsia" w:ascii="仿宋_GB2312" w:hAnsi="仿宋_GB2312" w:eastAsia="仿宋_GB2312" w:cs="仿宋_GB2312"/>
          <w:sz w:val="32"/>
          <w:szCs w:val="32"/>
        </w:rPr>
        <w:t>把党的关怀与温暖送到妇女群众心坎上。</w:t>
      </w:r>
    </w:p>
    <w:p>
      <w:pPr>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四、注</w:t>
      </w:r>
      <w:r>
        <w:rPr>
          <w:rFonts w:ascii="黑体" w:hAnsi="黑体" w:eastAsia="黑体"/>
          <w:bCs/>
          <w:sz w:val="32"/>
          <w:szCs w:val="32"/>
        </w:rPr>
        <w:t>重</w:t>
      </w:r>
      <w:r>
        <w:rPr>
          <w:rFonts w:hint="eastAsia" w:ascii="黑体" w:hAnsi="黑体" w:eastAsia="黑体"/>
          <w:bCs/>
          <w:sz w:val="32"/>
          <w:szCs w:val="32"/>
        </w:rPr>
        <w:t>家庭，</w:t>
      </w:r>
      <w:r>
        <w:rPr>
          <w:rFonts w:ascii="黑体" w:hAnsi="黑体" w:eastAsia="黑体"/>
          <w:bCs/>
          <w:sz w:val="32"/>
          <w:szCs w:val="32"/>
        </w:rPr>
        <w:t>弘扬</w:t>
      </w:r>
      <w:r>
        <w:rPr>
          <w:rFonts w:hint="eastAsia" w:ascii="黑体" w:hAnsi="黑体" w:eastAsia="黑体"/>
          <w:bCs/>
          <w:sz w:val="32"/>
          <w:szCs w:val="32"/>
        </w:rPr>
        <w:t>巾帼</w:t>
      </w:r>
      <w:r>
        <w:rPr>
          <w:rFonts w:ascii="黑体" w:hAnsi="黑体" w:eastAsia="黑体"/>
          <w:bCs/>
          <w:sz w:val="32"/>
          <w:szCs w:val="32"/>
        </w:rPr>
        <w:t>文明新风</w:t>
      </w:r>
    </w:p>
    <w:p>
      <w:pPr>
        <w:spacing w:line="600" w:lineRule="exact"/>
        <w:ind w:firstLine="652" w:firstLineChars="200"/>
        <w:rPr>
          <w:rFonts w:ascii="仿宋_GB2312" w:hAnsi="仿宋_GB2312" w:eastAsia="仿宋_GB2312"/>
          <w:sz w:val="32"/>
          <w:szCs w:val="32"/>
        </w:rPr>
      </w:pPr>
      <w:r>
        <w:rPr>
          <w:rFonts w:hint="eastAsia" w:ascii="楷体_GB2312" w:eastAsia="楷体_GB2312"/>
          <w:spacing w:val="3"/>
          <w:sz w:val="32"/>
          <w:szCs w:val="32"/>
        </w:rPr>
        <w:t>10.立足“建家”，深化家庭文明。</w:t>
      </w:r>
      <w:r>
        <w:rPr>
          <w:rFonts w:hint="eastAsia" w:ascii="仿宋_GB2312" w:hAnsi="仿宋_GB2312" w:eastAsia="仿宋_GB2312"/>
          <w:sz w:val="32"/>
          <w:szCs w:val="32"/>
        </w:rPr>
        <w:t>围绕庆祝新中国成立70周年，开展“家国同建，</w:t>
      </w:r>
      <w:r>
        <w:rPr>
          <w:rFonts w:eastAsia="仿宋_GB2312"/>
          <w:sz w:val="32"/>
          <w:szCs w:val="32"/>
        </w:rPr>
        <w:t>70</w:t>
      </w:r>
      <w:r>
        <w:rPr>
          <w:rFonts w:hint="eastAsia" w:ascii="仿宋_GB2312" w:hAnsi="仿宋_GB2312" w:eastAsia="仿宋_GB2312"/>
          <w:sz w:val="32"/>
          <w:szCs w:val="32"/>
        </w:rPr>
        <w:t>年我们一起走过”主题活动，深入开展“巾帼树新风 齐家传美德”主题活动，举办“清廉家风共培树</w:t>
      </w:r>
      <w:r>
        <w:rPr>
          <w:rStyle w:val="13"/>
          <w:rFonts w:hint="eastAsia" w:ascii="仿宋_GB2312" w:hAnsi="仿宋_GB2312" w:eastAsia="仿宋_GB2312" w:cs="仿宋_GB2312"/>
          <w:b w:val="0"/>
          <w:bCs w:val="0"/>
          <w:sz w:val="32"/>
          <w:szCs w:val="32"/>
        </w:rPr>
        <w:t xml:space="preserve">· </w:t>
      </w:r>
      <w:r>
        <w:rPr>
          <w:rFonts w:hint="eastAsia" w:ascii="仿宋_GB2312" w:hAnsi="仿宋_GB2312" w:eastAsia="仿宋_GB2312"/>
          <w:sz w:val="32"/>
          <w:szCs w:val="32"/>
        </w:rPr>
        <w:t>爱党爱国扬正气”演讲比赛，开展“弘扬传统文化</w:t>
      </w:r>
      <w:r>
        <w:rPr>
          <w:rStyle w:val="13"/>
          <w:rFonts w:hint="eastAsia" w:ascii="仿宋_GB2312" w:hAnsi="仿宋_GB2312" w:eastAsia="仿宋_GB2312" w:cs="仿宋_GB2312"/>
          <w:b w:val="0"/>
          <w:bCs w:val="0"/>
          <w:sz w:val="32"/>
          <w:szCs w:val="32"/>
        </w:rPr>
        <w:t>·</w:t>
      </w:r>
      <w:r>
        <w:rPr>
          <w:rFonts w:hint="eastAsia" w:ascii="仿宋_GB2312" w:hAnsi="仿宋_GB2312" w:eastAsia="仿宋_GB2312"/>
          <w:sz w:val="32"/>
          <w:szCs w:val="32"/>
        </w:rPr>
        <w:t>传承良好家风”百场巡讲进社区活动。</w:t>
      </w:r>
      <w:r>
        <w:rPr>
          <w:rFonts w:hint="eastAsia" w:ascii="仿宋_GB2312" w:hAnsi="仿宋" w:eastAsia="仿宋_GB2312" w:cs="仿宋"/>
          <w:sz w:val="32"/>
          <w:szCs w:val="32"/>
        </w:rPr>
        <w:t>继续开展</w:t>
      </w:r>
      <w:r>
        <w:rPr>
          <w:rFonts w:hint="eastAsia" w:ascii="仿宋_GB2312" w:hAnsi="仿宋" w:eastAsia="仿宋_GB2312" w:cs="仿宋"/>
          <w:sz w:val="32"/>
          <w:szCs w:val="32"/>
          <w:lang w:val="zh-CN"/>
        </w:rPr>
        <w:t>“美丽家园 从家开始”</w:t>
      </w:r>
      <w:r>
        <w:rPr>
          <w:rFonts w:hint="eastAsia" w:ascii="仿宋_GB2312" w:hAnsi="仿宋" w:eastAsia="仿宋_GB2312" w:cs="仿宋"/>
          <w:sz w:val="32"/>
          <w:szCs w:val="32"/>
        </w:rPr>
        <w:t>主题活动，积极推进美丽乡村建设</w:t>
      </w:r>
      <w:r>
        <w:rPr>
          <w:rFonts w:hint="eastAsia" w:ascii="仿宋_GB2312" w:hAnsi="仿宋" w:eastAsia="仿宋_GB2312"/>
          <w:sz w:val="32"/>
          <w:szCs w:val="32"/>
        </w:rPr>
        <w:t>。</w:t>
      </w:r>
    </w:p>
    <w:p>
      <w:pPr>
        <w:spacing w:line="600" w:lineRule="exact"/>
        <w:ind w:firstLine="652" w:firstLineChars="200"/>
        <w:rPr>
          <w:rFonts w:ascii="仿宋_GB2312" w:hAnsi="仿宋" w:eastAsia="仿宋_GB2312" w:cs="仿宋"/>
          <w:sz w:val="32"/>
          <w:szCs w:val="32"/>
        </w:rPr>
      </w:pPr>
      <w:r>
        <w:rPr>
          <w:rFonts w:hint="eastAsia" w:ascii="楷体_GB2312" w:eastAsia="楷体_GB2312"/>
          <w:spacing w:val="3"/>
          <w:sz w:val="32"/>
          <w:szCs w:val="32"/>
        </w:rPr>
        <w:t>11.立足“传家”，优化家庭教育。</w:t>
      </w:r>
      <w:r>
        <w:rPr>
          <w:rFonts w:hint="eastAsia" w:ascii="仿宋_GB2312" w:hAnsi="仿宋" w:eastAsia="仿宋_GB2312" w:cs="仿宋"/>
          <w:sz w:val="32"/>
          <w:szCs w:val="32"/>
        </w:rPr>
        <w:t>开展寻找第三届“励志女孩”活动。</w:t>
      </w:r>
      <w:r>
        <w:rPr>
          <w:rFonts w:hint="eastAsia" w:ascii="仿宋_GB2312" w:hAnsi="仿宋_GB2312" w:eastAsia="仿宋_GB2312"/>
          <w:sz w:val="32"/>
          <w:szCs w:val="32"/>
        </w:rPr>
        <w:t>举办“书香润万家</w:t>
      </w:r>
      <w:r>
        <w:rPr>
          <w:rStyle w:val="13"/>
          <w:rFonts w:hint="eastAsia" w:ascii="仿宋_GB2312" w:hAnsi="仿宋_GB2312" w:eastAsia="仿宋_GB2312" w:cs="仿宋_GB2312"/>
          <w:b w:val="0"/>
          <w:bCs w:val="0"/>
          <w:sz w:val="32"/>
          <w:szCs w:val="32"/>
        </w:rPr>
        <w:t>·</w:t>
      </w:r>
      <w:r>
        <w:rPr>
          <w:rFonts w:hint="eastAsia" w:ascii="仿宋_GB2312" w:hAnsi="仿宋_GB2312" w:eastAsia="仿宋_GB2312"/>
          <w:sz w:val="32"/>
          <w:szCs w:val="32"/>
        </w:rPr>
        <w:t>相伴共成长”家庭亲子阅读活动，</w:t>
      </w:r>
      <w:r>
        <w:rPr>
          <w:rFonts w:hint="eastAsia" w:ascii="仿宋_GB2312" w:hAnsi="仿宋" w:eastAsia="仿宋_GB2312" w:cs="仿宋"/>
          <w:sz w:val="32"/>
          <w:szCs w:val="32"/>
        </w:rPr>
        <w:t>引领广大儿童和家长在阅读中陶冶情操。组建家庭教育宣讲团，邀请省、市家庭教育方面专业老师赴各乡镇、社区开展家庭教育大讲堂活动。</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12.</w:t>
      </w:r>
      <w:r>
        <w:rPr>
          <w:rFonts w:hint="eastAsia" w:ascii="楷体_GB2312" w:eastAsia="楷体_GB2312"/>
          <w:spacing w:val="3"/>
          <w:sz w:val="32"/>
          <w:szCs w:val="32"/>
        </w:rPr>
        <w:t>立足“兴家”，弘扬文明新风。</w:t>
      </w:r>
      <w:r>
        <w:rPr>
          <w:rFonts w:hint="eastAsia" w:ascii="仿宋_GB2312" w:hAnsi="仿宋" w:eastAsia="仿宋_GB2312" w:cs="仿宋"/>
          <w:sz w:val="32"/>
          <w:szCs w:val="32"/>
        </w:rPr>
        <w:t>开展巾帼志愿服务“六个一”活动：</w:t>
      </w:r>
      <w:r>
        <w:rPr>
          <w:rFonts w:hint="eastAsia" w:ascii="仿宋_GB2312" w:hAnsi="仿宋" w:eastAsia="仿宋_GB2312"/>
          <w:sz w:val="32"/>
          <w:szCs w:val="32"/>
        </w:rPr>
        <w:t>即深化一个主题、建立一个体系，开展一系列活动、培育一批专业化团队、发展一批团体会员、选树、表彰一批优秀巾帼志愿者和志愿服务团体，带动更多女性社会组织和妇女群众参与巾帼志愿服务，弘扬文明新风。</w:t>
      </w:r>
    </w:p>
    <w:p>
      <w:pPr>
        <w:widowControl/>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五、注</w:t>
      </w:r>
      <w:r>
        <w:rPr>
          <w:rFonts w:ascii="黑体" w:hAnsi="黑体" w:eastAsia="黑体"/>
          <w:sz w:val="32"/>
          <w:szCs w:val="32"/>
        </w:rPr>
        <w:t>重</w:t>
      </w:r>
      <w:r>
        <w:rPr>
          <w:rFonts w:hint="eastAsia" w:ascii="黑体" w:hAnsi="黑体" w:eastAsia="黑体"/>
          <w:sz w:val="32"/>
          <w:szCs w:val="32"/>
        </w:rPr>
        <w:t>创新，转变妇联工作模式</w:t>
      </w:r>
    </w:p>
    <w:p>
      <w:pPr>
        <w:adjustRightInd w:val="0"/>
        <w:snapToGrid w:val="0"/>
        <w:spacing w:line="600" w:lineRule="exact"/>
        <w:ind w:firstLine="652" w:firstLineChars="200"/>
        <w:rPr>
          <w:rFonts w:ascii="仿宋_GB2312" w:hAnsi="仿宋" w:eastAsia="仿宋_GB2312"/>
          <w:sz w:val="32"/>
          <w:szCs w:val="32"/>
        </w:rPr>
      </w:pPr>
      <w:r>
        <w:rPr>
          <w:rFonts w:hint="eastAsia" w:ascii="楷体_GB2312" w:eastAsia="楷体_GB2312"/>
          <w:spacing w:val="3"/>
          <w:sz w:val="32"/>
          <w:szCs w:val="32"/>
        </w:rPr>
        <w:t>13.创新思维，扎实推进网上妇联建设。</w:t>
      </w:r>
      <w:r>
        <w:rPr>
          <w:rFonts w:hint="eastAsia" w:ascii="仿宋_GB2312" w:hAnsi="仿宋" w:eastAsia="仿宋_GB2312"/>
          <w:sz w:val="32"/>
          <w:szCs w:val="32"/>
        </w:rPr>
        <w:t>强化“互联网+妇联”思维，把组织动员、教育引导、联系服务的各项工作融入新媒体平台，不断优化妇女网站、微信平台、网络工作群和联系群建设，打造工作、联系、服务三网合一的新平台。</w:t>
      </w:r>
    </w:p>
    <w:p>
      <w:pPr>
        <w:widowControl/>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14.</w:t>
      </w:r>
      <w:r>
        <w:rPr>
          <w:rFonts w:hint="eastAsia" w:ascii="楷体_GB2312" w:eastAsia="楷体_GB2312"/>
          <w:spacing w:val="3"/>
          <w:sz w:val="32"/>
          <w:szCs w:val="32"/>
        </w:rPr>
        <w:t>创新模式，用足用好新媒体宣传功能。</w:t>
      </w:r>
      <w:r>
        <w:rPr>
          <w:rFonts w:hint="eastAsia" w:ascii="仿宋_GB2312" w:hAnsi="仿宋" w:eastAsia="仿宋_GB2312"/>
          <w:sz w:val="32"/>
          <w:szCs w:val="32"/>
        </w:rPr>
        <w:t>用足用好新媒体的宣传服务功能，</w:t>
      </w:r>
      <w:r>
        <w:rPr>
          <w:rFonts w:hint="eastAsia" w:ascii="仿宋_GB2312" w:hAnsi="仿宋_GB2312" w:eastAsia="仿宋_GB2312" w:cs="仿宋_GB2312"/>
          <w:spacing w:val="3"/>
          <w:sz w:val="32"/>
          <w:szCs w:val="32"/>
        </w:rPr>
        <w:t>大力</w:t>
      </w:r>
      <w:r>
        <w:rPr>
          <w:rFonts w:hint="eastAsia" w:ascii="仿宋_GB2312" w:hAnsi="仿宋" w:eastAsia="仿宋_GB2312"/>
          <w:sz w:val="32"/>
          <w:szCs w:val="32"/>
        </w:rPr>
        <w:t>弘扬社会主旋律，继续办好巾帼传习之声，提供家庭教育、维权咨询、书香美文等资讯服务，加强与宣传、文明办、广电、信息中心等各部门公众号及活跃的女性社会组织的联系，持续扩大妇联影响。</w:t>
      </w:r>
    </w:p>
    <w:p>
      <w:pPr>
        <w:widowControl/>
        <w:adjustRightInd w:val="0"/>
        <w:snapToGrid w:val="0"/>
        <w:spacing w:line="600" w:lineRule="exact"/>
        <w:ind w:firstLine="326" w:firstLineChars="100"/>
        <w:rPr>
          <w:rFonts w:ascii="仿宋_GB2312" w:hAnsi="仿宋_GB2312" w:eastAsia="仿宋_GB2312" w:cs="仿宋_GB2312"/>
          <w:bCs/>
          <w:sz w:val="32"/>
          <w:szCs w:val="32"/>
        </w:rPr>
      </w:pPr>
      <w:r>
        <w:rPr>
          <w:rFonts w:hint="eastAsia" w:ascii="楷体_GB2312" w:eastAsia="楷体_GB2312"/>
          <w:spacing w:val="3"/>
          <w:sz w:val="32"/>
          <w:szCs w:val="32"/>
        </w:rPr>
        <w:t xml:space="preserve">  15.创新载体，做细做实妇女工作。</w:t>
      </w:r>
      <w:r>
        <w:rPr>
          <w:rFonts w:hint="eastAsia" w:ascii="仿宋_GB2312" w:hAnsi="仿宋" w:eastAsia="仿宋_GB2312"/>
          <w:sz w:val="32"/>
          <w:szCs w:val="32"/>
        </w:rPr>
        <w:t>开</w:t>
      </w:r>
      <w:r>
        <w:rPr>
          <w:rFonts w:hint="eastAsia" w:ascii="仿宋_GB2312" w:hAnsi="仿宋_GB2312" w:eastAsia="仿宋_GB2312" w:cs="仿宋_GB2312"/>
          <w:bCs/>
          <w:sz w:val="32"/>
          <w:szCs w:val="32"/>
        </w:rPr>
        <w:t>展“议良策办实事 助力乡村振兴”妇女议事会专题活动，推动妇联工作与民生需求无缝对接。加强与各类慈善机构、公益团体、民间组织、爱心人士的联系合作，把更多注意力放在贫困、留守、病残妇女儿童和老龄妇女等困难群体上，有效解决妇女儿童民生难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注重</w:t>
      </w:r>
      <w:r>
        <w:rPr>
          <w:rFonts w:hint="eastAsia" w:ascii="黑体" w:hAnsi="黑体" w:eastAsia="黑体"/>
          <w:sz w:val="32"/>
          <w:szCs w:val="32"/>
        </w:rPr>
        <w:t>深化</w:t>
      </w:r>
      <w:r>
        <w:rPr>
          <w:rFonts w:ascii="黑体" w:hAnsi="黑体" w:eastAsia="黑体"/>
          <w:sz w:val="32"/>
          <w:szCs w:val="32"/>
        </w:rPr>
        <w:t>，</w:t>
      </w:r>
      <w:r>
        <w:rPr>
          <w:rFonts w:hint="eastAsia" w:ascii="黑体" w:hAnsi="黑体" w:eastAsia="黑体"/>
          <w:sz w:val="32"/>
          <w:szCs w:val="32"/>
        </w:rPr>
        <w:t>巩固</w:t>
      </w:r>
      <w:r>
        <w:rPr>
          <w:rFonts w:ascii="黑体" w:hAnsi="黑体" w:eastAsia="黑体"/>
          <w:sz w:val="32"/>
          <w:szCs w:val="32"/>
        </w:rPr>
        <w:t>妇联</w:t>
      </w:r>
      <w:r>
        <w:rPr>
          <w:rFonts w:hint="eastAsia" w:ascii="黑体" w:hAnsi="黑体" w:eastAsia="黑体"/>
          <w:sz w:val="32"/>
          <w:szCs w:val="32"/>
        </w:rPr>
        <w:t>改革成果</w:t>
      </w:r>
    </w:p>
    <w:p>
      <w:pPr>
        <w:adjustRightInd w:val="0"/>
        <w:snapToGrid w:val="0"/>
        <w:spacing w:line="600" w:lineRule="exact"/>
        <w:ind w:firstLine="652" w:firstLineChars="200"/>
        <w:rPr>
          <w:rFonts w:ascii="宋体" w:hAnsi="宋体" w:eastAsia="仿宋_GB2312"/>
          <w:sz w:val="30"/>
          <w:szCs w:val="30"/>
        </w:rPr>
      </w:pPr>
      <w:r>
        <w:rPr>
          <w:rFonts w:hint="eastAsia" w:ascii="楷体_GB2312" w:eastAsia="楷体_GB2312"/>
          <w:spacing w:val="3"/>
          <w:sz w:val="32"/>
          <w:szCs w:val="32"/>
        </w:rPr>
        <w:t>16.强化阵地建设，完善组织体系。</w:t>
      </w:r>
      <w:r>
        <w:rPr>
          <w:rFonts w:hint="eastAsia" w:ascii="仿宋_GB2312" w:hAnsi="仿宋_GB2312" w:eastAsia="仿宋_GB2312" w:cs="仿宋_GB2312"/>
          <w:bCs/>
          <w:sz w:val="32"/>
          <w:szCs w:val="32"/>
        </w:rPr>
        <w:t>坚持党建带妇建，建设服务型妇联组织。全面巩固深化村（社区）妇代会改建妇联、乡镇妇联组织区域化建设改革成果，不断扩大组织和工作覆盖面，推进“妇女微家”建设。</w:t>
      </w:r>
      <w:r>
        <w:rPr>
          <w:rFonts w:hint="eastAsia" w:ascii="仿宋_GB2312" w:hAnsi="Tahoma" w:eastAsia="仿宋_GB2312" w:cs="Tahoma"/>
          <w:sz w:val="32"/>
          <w:szCs w:val="32"/>
        </w:rPr>
        <w:t>进一步拓展“妇女之家”建设领域，</w:t>
      </w:r>
      <w:r>
        <w:rPr>
          <w:rFonts w:hint="eastAsia" w:ascii="仿宋_GB2312" w:eastAsia="仿宋_GB2312"/>
          <w:sz w:val="32"/>
          <w:szCs w:val="32"/>
        </w:rPr>
        <w:t>强化基层“妇女之家”的综合服务功能，筑牢联系妇</w:t>
      </w:r>
      <w:r>
        <w:rPr>
          <w:rFonts w:hint="eastAsia" w:ascii="仿宋_GB2312" w:hAnsi="仿宋_GB2312" w:eastAsia="仿宋_GB2312" w:cs="仿宋_GB2312"/>
          <w:bCs/>
          <w:sz w:val="32"/>
          <w:szCs w:val="32"/>
        </w:rPr>
        <w:t>女群众工作阵地。加大在新领域、新阶层、新业态、新群体中妇联组织的建设力度，努力做到哪里有妇女，哪里就有妇女组织。</w:t>
      </w:r>
    </w:p>
    <w:p>
      <w:pPr>
        <w:adjustRightInd w:val="0"/>
        <w:snapToGrid w:val="0"/>
        <w:spacing w:line="600" w:lineRule="exact"/>
        <w:ind w:firstLine="652" w:firstLineChars="200"/>
        <w:rPr>
          <w:rFonts w:ascii="宋体" w:hAnsi="宋体" w:eastAsia="仿宋_GB2312"/>
          <w:sz w:val="30"/>
          <w:szCs w:val="30"/>
        </w:rPr>
      </w:pPr>
      <w:r>
        <w:rPr>
          <w:rFonts w:hint="eastAsia" w:ascii="楷体_GB2312" w:eastAsia="楷体_GB2312"/>
          <w:spacing w:val="3"/>
          <w:sz w:val="32"/>
          <w:szCs w:val="32"/>
        </w:rPr>
        <w:t>17.强化队伍建设，提升妇干能力。</w:t>
      </w:r>
      <w:r>
        <w:rPr>
          <w:rFonts w:hint="eastAsia" w:ascii="仿宋_GB2312" w:eastAsia="仿宋_GB2312"/>
          <w:sz w:val="32"/>
          <w:szCs w:val="32"/>
        </w:rPr>
        <w:t>实施女干部“四培养”行动，力争把有能力的农村妇女培训成有一技之长的执委候选人；把执委成员培养成致富领富带头人；把优秀执委成员培养推荐为入党积极分子；把妇联主席培养成“两委”后备干部，为全面深化妇联改革提供坚强的人才支撑。继续开展基层妇联主席、执委履职培训，帮助妇联干部真正成为妇女工作的“行家里手”。</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七、注重落实，提升党建工作水平。</w:t>
      </w:r>
    </w:p>
    <w:p>
      <w:pPr>
        <w:adjustRightInd w:val="0"/>
        <w:snapToGrid w:val="0"/>
        <w:spacing w:line="600" w:lineRule="exact"/>
        <w:ind w:firstLine="652" w:firstLineChars="200"/>
        <w:rPr>
          <w:rFonts w:ascii="仿宋_GB2312" w:eastAsia="仿宋_GB2312"/>
          <w:sz w:val="32"/>
          <w:szCs w:val="32"/>
        </w:rPr>
      </w:pPr>
      <w:r>
        <w:rPr>
          <w:rFonts w:hint="eastAsia" w:ascii="楷体_GB2312" w:eastAsia="楷体_GB2312"/>
          <w:spacing w:val="3"/>
          <w:sz w:val="32"/>
          <w:szCs w:val="32"/>
        </w:rPr>
        <w:t>18.旗帜鲜明“讲政治”。</w:t>
      </w:r>
      <w:r>
        <w:rPr>
          <w:rFonts w:hint="eastAsia" w:ascii="仿宋_GB2312" w:eastAsia="仿宋_GB2312"/>
          <w:sz w:val="32"/>
          <w:szCs w:val="32"/>
        </w:rPr>
        <w:t>把讲政治贯穿妇联全部工作始终，大力传承红色基因，坚决做到“党有号召、妇联有行动”。</w:t>
      </w:r>
      <w:r>
        <w:rPr>
          <w:rFonts w:hint="eastAsia" w:ascii="仿宋_GB2312" w:hAnsi="仿宋_GB2312" w:eastAsia="仿宋_GB2312" w:cs="仿宋_GB2312"/>
          <w:sz w:val="32"/>
          <w:szCs w:val="32"/>
        </w:rPr>
        <w:t>坚定执行中央及省、市、县委的决策部署，</w:t>
      </w:r>
      <w:r>
        <w:rPr>
          <w:rFonts w:hint="eastAsia" w:ascii="仿宋_GB2312" w:eastAsia="仿宋_GB2312"/>
          <w:sz w:val="32"/>
          <w:szCs w:val="32"/>
        </w:rPr>
        <w:t>扎实开展“不忘初心 牢记使命”等主题教育，引导妇联党员干部用实际行动诠释对党和人民的忠诚。</w:t>
      </w:r>
    </w:p>
    <w:p>
      <w:pPr>
        <w:adjustRightInd w:val="0"/>
        <w:snapToGrid w:val="0"/>
        <w:spacing w:line="600" w:lineRule="exact"/>
        <w:ind w:firstLine="652" w:firstLineChars="200"/>
        <w:rPr>
          <w:rFonts w:ascii="仿宋_GB2312" w:eastAsia="仿宋_GB2312"/>
          <w:sz w:val="32"/>
          <w:szCs w:val="32"/>
        </w:rPr>
      </w:pPr>
      <w:r>
        <w:rPr>
          <w:rFonts w:hint="eastAsia" w:ascii="楷体_GB2312" w:eastAsia="楷体_GB2312"/>
          <w:spacing w:val="3"/>
          <w:sz w:val="32"/>
          <w:szCs w:val="32"/>
        </w:rPr>
        <w:t>19.脚踏实地“转作风”。</w:t>
      </w:r>
      <w:r>
        <w:rPr>
          <w:rFonts w:hint="eastAsia" w:ascii="仿宋_GB2312" w:eastAsia="仿宋_GB2312"/>
          <w:sz w:val="32"/>
          <w:szCs w:val="32"/>
        </w:rPr>
        <w:t>认真落实《联系和服务妇女制》，充分发挥“四联”工作法的“朋友圈”效应，坚持“下基层、访妇情、办实事”，问计问需于妇女群众，“零距离”联系服务全县广大妇女群众，增强妇联工作的针对性和实效性。</w:t>
      </w:r>
    </w:p>
    <w:p>
      <w:pPr>
        <w:adjustRightInd w:val="0"/>
        <w:snapToGrid w:val="0"/>
        <w:spacing w:line="600" w:lineRule="exact"/>
        <w:ind w:firstLine="652" w:firstLineChars="200"/>
        <w:rPr>
          <w:rFonts w:ascii="仿宋_GB2312" w:hAnsi="楷体" w:eastAsia="仿宋_GB2312"/>
          <w:sz w:val="32"/>
          <w:szCs w:val="32"/>
        </w:rPr>
      </w:pPr>
      <w:r>
        <w:rPr>
          <w:rFonts w:hint="eastAsia" w:ascii="楷体_GB2312" w:eastAsia="楷体_GB2312"/>
          <w:spacing w:val="3"/>
          <w:sz w:val="32"/>
          <w:szCs w:val="32"/>
        </w:rPr>
        <w:t>20.从严从实“抓党建”。</w:t>
      </w:r>
      <w:r>
        <w:rPr>
          <w:rFonts w:hint="eastAsia" w:ascii="仿宋_GB2312" w:hAnsi="楷体" w:eastAsia="仿宋_GB2312"/>
          <w:sz w:val="32"/>
          <w:szCs w:val="32"/>
        </w:rPr>
        <w:t>深化妇联组织党风廉政建设，强化主体责任，落实“一岗双责”。进一步把全面从严治党各项要求融入妇联工作，严格贯彻中央八项规定精神和省委、市委、县委实施细则，为推动寿县妇女儿童事业健康发展提供有力保证。</w:t>
      </w: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rPr>
          <w:rFonts w:hint="eastAsia" w:ascii="仿宋_GB2312" w:hAnsi="黑体" w:eastAsia="仿宋_GB2312"/>
          <w:bCs/>
          <w:sz w:val="32"/>
          <w:szCs w:val="32"/>
        </w:rPr>
      </w:pPr>
    </w:p>
    <w:p>
      <w:pPr>
        <w:pStyle w:val="9"/>
        <w:adjustRightInd w:val="0"/>
        <w:snapToGrid w:val="0"/>
        <w:spacing w:before="0" w:beforeAutospacing="0" w:after="0" w:afterAutospacing="0" w:line="600" w:lineRule="exact"/>
        <w:rPr>
          <w:rFonts w:hint="eastAsia" w:ascii="仿宋_GB2312" w:hAnsi="黑体" w:eastAsia="仿宋_GB2312"/>
          <w:bCs/>
          <w:sz w:val="32"/>
          <w:szCs w:val="32"/>
        </w:rPr>
      </w:pPr>
    </w:p>
    <w:p>
      <w:pPr>
        <w:pStyle w:val="9"/>
        <w:adjustRightInd w:val="0"/>
        <w:snapToGrid w:val="0"/>
        <w:spacing w:before="0" w:beforeAutospacing="0" w:after="0" w:afterAutospacing="0" w:line="600" w:lineRule="exact"/>
        <w:rPr>
          <w:rFonts w:ascii="仿宋_GB2312" w:hAnsi="黑体" w:eastAsia="仿宋_GB2312"/>
          <w:bCs/>
          <w:sz w:val="32"/>
          <w:szCs w:val="32"/>
        </w:rPr>
      </w:pPr>
    </w:p>
    <w:p>
      <w:pPr>
        <w:pStyle w:val="9"/>
        <w:adjustRightInd w:val="0"/>
        <w:snapToGrid w:val="0"/>
        <w:spacing w:before="0" w:beforeAutospacing="0" w:after="0" w:afterAutospacing="0" w:line="600" w:lineRule="exact"/>
        <w:jc w:val="center"/>
        <w:rPr>
          <w:rFonts w:ascii="仿宋_GB2312" w:hAnsi="黑体" w:eastAsia="仿宋_GB2312"/>
          <w:bCs/>
          <w:sz w:val="32"/>
          <w:szCs w:val="32"/>
        </w:rPr>
      </w:pPr>
      <w:r>
        <w:rPr>
          <w:rFonts w:hint="eastAsia" w:ascii="方正小标宋_GBK" w:hAnsi="黑体" w:eastAsia="方正小标宋_GBK"/>
          <w:bCs/>
          <w:sz w:val="44"/>
          <w:szCs w:val="44"/>
        </w:rPr>
        <w:t>第二部分 2019年部门预算表</w:t>
      </w: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r>
        <w:rPr>
          <w:szCs w:val="44"/>
        </w:rPr>
        <w:drawing>
          <wp:inline distT="0" distB="0" distL="0" distR="0">
            <wp:extent cx="5760085" cy="689229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5760085" cy="6892474"/>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r>
        <w:rPr>
          <w:szCs w:val="44"/>
        </w:rPr>
        <w:drawing>
          <wp:inline distT="0" distB="0" distL="0" distR="0">
            <wp:extent cx="5760085" cy="471932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5760085" cy="4719676"/>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r>
        <w:rPr>
          <w:szCs w:val="44"/>
        </w:rPr>
        <w:drawing>
          <wp:inline distT="0" distB="0" distL="0" distR="0">
            <wp:extent cx="5760085" cy="620903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srcRect/>
                    <a:stretch>
                      <a:fillRect/>
                    </a:stretch>
                  </pic:blipFill>
                  <pic:spPr>
                    <a:xfrm>
                      <a:off x="0" y="0"/>
                      <a:ext cx="5760085" cy="6209653"/>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rPr>
          <w:rFonts w:ascii="方正小标宋_GBK" w:hAnsi="黑体" w:eastAsia="方正小标宋_GBK"/>
          <w:bCs/>
          <w:sz w:val="44"/>
          <w:szCs w:val="44"/>
        </w:rPr>
        <w:sectPr>
          <w:footerReference r:id="rId3" w:type="default"/>
          <w:footerReference r:id="rId4" w:type="even"/>
          <w:type w:val="evenPage"/>
          <w:pgSz w:w="11907" w:h="16839"/>
          <w:pgMar w:top="1701" w:right="1418" w:bottom="1531" w:left="1418" w:header="851" w:footer="567" w:gutter="0"/>
          <w:cols w:space="425" w:num="1"/>
          <w:titlePg/>
          <w:docGrid w:type="lines" w:linePitch="312" w:charSpace="0"/>
        </w:sectPr>
      </w:pPr>
    </w:p>
    <w:p>
      <w:pPr>
        <w:pStyle w:val="9"/>
        <w:adjustRightInd w:val="0"/>
        <w:snapToGrid w:val="0"/>
        <w:spacing w:before="0" w:beforeAutospacing="0" w:after="0" w:afterAutospacing="0"/>
        <w:jc w:val="center"/>
        <w:rPr>
          <w:szCs w:val="44"/>
        </w:rPr>
      </w:pPr>
      <w:r>
        <w:rPr>
          <w:szCs w:val="44"/>
        </w:rPr>
        <w:drawing>
          <wp:inline distT="0" distB="0" distL="0" distR="0">
            <wp:extent cx="8640445" cy="5227955"/>
            <wp:effectExtent l="1905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srcRect/>
                    <a:stretch>
                      <a:fillRect/>
                    </a:stretch>
                  </pic:blipFill>
                  <pic:spPr>
                    <a:xfrm>
                      <a:off x="0" y="0"/>
                      <a:ext cx="8640445" cy="5228127"/>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p>
    <w:p>
      <w:pPr>
        <w:pStyle w:val="9"/>
        <w:adjustRightInd w:val="0"/>
        <w:snapToGrid w:val="0"/>
        <w:spacing w:before="0" w:beforeAutospacing="0" w:after="0" w:afterAutospacing="0"/>
        <w:jc w:val="center"/>
        <w:rPr>
          <w:szCs w:val="44"/>
        </w:rPr>
      </w:pPr>
      <w:r>
        <w:rPr>
          <w:szCs w:val="44"/>
        </w:rPr>
        <w:drawing>
          <wp:inline distT="0" distB="0" distL="0" distR="0">
            <wp:extent cx="7677150" cy="49625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srcRect/>
                    <a:stretch>
                      <a:fillRect/>
                    </a:stretch>
                  </pic:blipFill>
                  <pic:spPr>
                    <a:xfrm>
                      <a:off x="0" y="0"/>
                      <a:ext cx="7677150" cy="4962525"/>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rFonts w:ascii="方正小标宋_GBK" w:hAnsi="黑体" w:eastAsia="方正小标宋_GBK"/>
          <w:bCs/>
          <w:sz w:val="44"/>
          <w:szCs w:val="44"/>
        </w:rPr>
        <w:sectPr>
          <w:type w:val="evenPage"/>
          <w:pgSz w:w="16839" w:h="11907" w:orient="landscape"/>
          <w:pgMar w:top="1418" w:right="1531" w:bottom="1418" w:left="1701" w:header="851" w:footer="567" w:gutter="0"/>
          <w:cols w:space="425" w:num="1"/>
          <w:titlePg/>
          <w:docGrid w:type="linesAndChars" w:linePitch="312" w:charSpace="0"/>
        </w:sectPr>
      </w:pPr>
    </w:p>
    <w:p>
      <w:pPr>
        <w:pStyle w:val="9"/>
        <w:adjustRightInd w:val="0"/>
        <w:snapToGrid w:val="0"/>
        <w:spacing w:before="0" w:beforeAutospacing="0" w:after="0" w:afterAutospacing="0"/>
        <w:jc w:val="center"/>
        <w:rPr>
          <w:szCs w:val="44"/>
        </w:rPr>
        <w:sectPr>
          <w:type w:val="evenPage"/>
          <w:pgSz w:w="11907" w:h="16839"/>
          <w:pgMar w:top="1134" w:right="1418" w:bottom="1134" w:left="1418" w:header="851" w:footer="567" w:gutter="0"/>
          <w:cols w:space="425" w:num="1"/>
          <w:titlePg/>
          <w:docGrid w:type="linesAndChars" w:linePitch="312" w:charSpace="0"/>
        </w:sectPr>
      </w:pPr>
      <w:r>
        <w:rPr>
          <w:szCs w:val="44"/>
        </w:rPr>
        <w:drawing>
          <wp:inline distT="0" distB="0" distL="0" distR="0">
            <wp:extent cx="5686425" cy="9153525"/>
            <wp:effectExtent l="19050" t="0" r="9525"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noChangeArrowheads="1"/>
                    </pic:cNvPicPr>
                  </pic:nvPicPr>
                  <pic:blipFill>
                    <a:blip r:embed="rId11"/>
                    <a:srcRect/>
                    <a:stretch>
                      <a:fillRect/>
                    </a:stretch>
                  </pic:blipFill>
                  <pic:spPr>
                    <a:xfrm>
                      <a:off x="0" y="0"/>
                      <a:ext cx="5686425" cy="9153525"/>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rFonts w:ascii="方正小标宋_GBK" w:hAnsi="黑体" w:eastAsia="方正小标宋_GBK"/>
          <w:bCs/>
          <w:sz w:val="44"/>
          <w:szCs w:val="44"/>
        </w:rPr>
      </w:pPr>
      <w:r>
        <w:rPr>
          <w:szCs w:val="44"/>
        </w:rPr>
        <w:drawing>
          <wp:inline distT="0" distB="0" distL="0" distR="0">
            <wp:extent cx="8891905" cy="5163820"/>
            <wp:effectExtent l="1905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srcRect/>
                    <a:stretch>
                      <a:fillRect/>
                    </a:stretch>
                  </pic:blipFill>
                  <pic:spPr>
                    <a:xfrm>
                      <a:off x="0" y="0"/>
                      <a:ext cx="8891905" cy="5163932"/>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rFonts w:ascii="方正小标宋_GBK" w:hAnsi="黑体" w:eastAsia="方正小标宋_GBK"/>
          <w:bCs/>
          <w:sz w:val="44"/>
          <w:szCs w:val="44"/>
        </w:rPr>
      </w:pPr>
    </w:p>
    <w:p>
      <w:pPr>
        <w:pStyle w:val="9"/>
        <w:adjustRightInd w:val="0"/>
        <w:snapToGrid w:val="0"/>
        <w:spacing w:before="0" w:beforeAutospacing="0" w:after="0" w:afterAutospacing="0"/>
        <w:jc w:val="center"/>
        <w:rPr>
          <w:rFonts w:ascii="方正小标宋_GBK" w:hAnsi="黑体" w:eastAsia="方正小标宋_GBK"/>
          <w:bCs/>
          <w:sz w:val="44"/>
          <w:szCs w:val="44"/>
        </w:rPr>
      </w:pPr>
      <w:r>
        <w:rPr>
          <w:szCs w:val="44"/>
        </w:rPr>
        <w:drawing>
          <wp:inline distT="0" distB="0" distL="0" distR="0">
            <wp:extent cx="7753350" cy="454342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a:srcRect/>
                    <a:stretch>
                      <a:fillRect/>
                    </a:stretch>
                  </pic:blipFill>
                  <pic:spPr>
                    <a:xfrm>
                      <a:off x="0" y="0"/>
                      <a:ext cx="7753350" cy="4543425"/>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rFonts w:ascii="方正小标宋_GBK" w:hAnsi="黑体" w:eastAsia="方正小标宋_GBK"/>
          <w:bCs/>
          <w:sz w:val="44"/>
          <w:szCs w:val="44"/>
        </w:rPr>
      </w:pPr>
    </w:p>
    <w:p>
      <w:pPr>
        <w:pStyle w:val="9"/>
        <w:adjustRightInd w:val="0"/>
        <w:snapToGrid w:val="0"/>
        <w:spacing w:before="0" w:beforeAutospacing="0" w:after="0" w:afterAutospacing="0"/>
        <w:jc w:val="center"/>
        <w:rPr>
          <w:rFonts w:ascii="方正小标宋_GBK" w:hAnsi="黑体" w:eastAsia="方正小标宋_GBK"/>
          <w:bCs/>
          <w:sz w:val="44"/>
          <w:szCs w:val="44"/>
        </w:rPr>
      </w:pPr>
    </w:p>
    <w:p>
      <w:pPr>
        <w:pStyle w:val="9"/>
        <w:adjustRightInd w:val="0"/>
        <w:snapToGrid w:val="0"/>
        <w:spacing w:before="0" w:beforeAutospacing="0" w:after="0" w:afterAutospacing="0"/>
        <w:jc w:val="center"/>
        <w:rPr>
          <w:rFonts w:ascii="方正小标宋_GBK" w:hAnsi="黑体" w:eastAsia="方正小标宋_GBK"/>
          <w:bCs/>
          <w:sz w:val="44"/>
          <w:szCs w:val="44"/>
        </w:rPr>
      </w:pPr>
      <w:r>
        <w:rPr>
          <w:szCs w:val="44"/>
        </w:rPr>
        <w:drawing>
          <wp:inline distT="0" distB="0" distL="0" distR="0">
            <wp:extent cx="7734300" cy="42957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4"/>
                    <a:srcRect/>
                    <a:stretch>
                      <a:fillRect/>
                    </a:stretch>
                  </pic:blipFill>
                  <pic:spPr>
                    <a:xfrm>
                      <a:off x="0" y="0"/>
                      <a:ext cx="7734300" cy="4295775"/>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rFonts w:ascii="方正小标宋_GBK" w:hAnsi="黑体" w:eastAsia="方正小标宋_GBK"/>
          <w:bCs/>
          <w:sz w:val="44"/>
          <w:szCs w:val="44"/>
        </w:rPr>
      </w:pPr>
    </w:p>
    <w:p>
      <w:pPr>
        <w:pStyle w:val="9"/>
        <w:adjustRightInd w:val="0"/>
        <w:snapToGrid w:val="0"/>
        <w:spacing w:before="0" w:beforeAutospacing="0" w:after="0" w:afterAutospacing="0"/>
        <w:jc w:val="center"/>
        <w:rPr>
          <w:rFonts w:ascii="方正小标宋_GBK" w:hAnsi="黑体" w:eastAsia="方正小标宋_GBK"/>
          <w:bCs/>
          <w:sz w:val="44"/>
          <w:szCs w:val="44"/>
        </w:rPr>
      </w:pPr>
    </w:p>
    <w:p>
      <w:pPr>
        <w:pStyle w:val="9"/>
        <w:adjustRightInd w:val="0"/>
        <w:snapToGrid w:val="0"/>
        <w:spacing w:before="0" w:beforeAutospacing="0" w:after="0" w:afterAutospacing="0"/>
        <w:jc w:val="center"/>
        <w:rPr>
          <w:szCs w:val="44"/>
        </w:rPr>
      </w:pPr>
      <w:r>
        <w:rPr>
          <w:rFonts w:hint="eastAsia"/>
          <w:szCs w:val="44"/>
        </w:rPr>
        <w:drawing>
          <wp:inline distT="0" distB="0" distL="0" distR="0">
            <wp:extent cx="8353425" cy="4429125"/>
            <wp:effectExtent l="19050" t="0" r="9525" b="0"/>
            <wp:docPr id="3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pic:cNvPicPr>
                      <a:picLocks noChangeAspect="1" noChangeArrowheads="1"/>
                    </pic:cNvPicPr>
                  </pic:nvPicPr>
                  <pic:blipFill>
                    <a:blip r:embed="rId15"/>
                    <a:srcRect/>
                    <a:stretch>
                      <a:fillRect/>
                    </a:stretch>
                  </pic:blipFill>
                  <pic:spPr>
                    <a:xfrm>
                      <a:off x="0" y="0"/>
                      <a:ext cx="8353425" cy="4429125"/>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rFonts w:ascii="方正小标宋_GBK" w:hAnsi="黑体" w:eastAsia="方正小标宋_GBK"/>
          <w:bCs/>
          <w:sz w:val="44"/>
          <w:szCs w:val="44"/>
        </w:rPr>
        <w:sectPr>
          <w:type w:val="evenPage"/>
          <w:pgSz w:w="16839" w:h="11907" w:orient="landscape"/>
          <w:pgMar w:top="1418" w:right="1418" w:bottom="1418" w:left="1418" w:header="851" w:footer="567" w:gutter="0"/>
          <w:cols w:space="425" w:num="1"/>
          <w:titlePg/>
          <w:docGrid w:type="linesAndChars" w:linePitch="312" w:charSpace="0"/>
        </w:sectPr>
      </w:pPr>
    </w:p>
    <w:p>
      <w:pPr>
        <w:pStyle w:val="9"/>
        <w:adjustRightInd w:val="0"/>
        <w:snapToGrid w:val="0"/>
        <w:spacing w:before="0" w:beforeAutospacing="0" w:after="0" w:afterAutospacing="0"/>
        <w:jc w:val="center"/>
        <w:rPr>
          <w:rFonts w:ascii="方正小标宋_GBK" w:hAnsi="黑体" w:eastAsia="方正小标宋_GBK"/>
          <w:bCs/>
          <w:sz w:val="44"/>
          <w:szCs w:val="44"/>
        </w:rPr>
      </w:pPr>
      <w:r>
        <w:rPr>
          <w:szCs w:val="44"/>
        </w:rPr>
        <w:drawing>
          <wp:inline distT="0" distB="0" distL="0" distR="0">
            <wp:extent cx="5760085" cy="4053840"/>
            <wp:effectExtent l="19050" t="0" r="0"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noChangeArrowheads="1"/>
                    </pic:cNvPicPr>
                  </pic:nvPicPr>
                  <pic:blipFill>
                    <a:blip r:embed="rId16"/>
                    <a:srcRect/>
                    <a:stretch>
                      <a:fillRect/>
                    </a:stretch>
                  </pic:blipFill>
                  <pic:spPr>
                    <a:xfrm>
                      <a:off x="0" y="0"/>
                      <a:ext cx="5760085" cy="4054045"/>
                    </a:xfrm>
                    <a:prstGeom prst="rect">
                      <a:avLst/>
                    </a:prstGeom>
                    <a:noFill/>
                    <a:ln w="9525">
                      <a:noFill/>
                      <a:miter lim="800000"/>
                      <a:headEnd/>
                      <a:tailEnd/>
                    </a:ln>
                  </pic:spPr>
                </pic:pic>
              </a:graphicData>
            </a:graphic>
          </wp:inline>
        </w:drawing>
      </w:r>
    </w:p>
    <w:p>
      <w:pPr>
        <w:pStyle w:val="9"/>
        <w:adjustRightInd w:val="0"/>
        <w:snapToGrid w:val="0"/>
        <w:spacing w:before="0" w:beforeAutospacing="0" w:after="0" w:afterAutospacing="0"/>
        <w:jc w:val="center"/>
        <w:rPr>
          <w:rFonts w:ascii="方正小标宋_GBK" w:hAnsi="黑体" w:eastAsia="方正小标宋_GBK"/>
          <w:bCs/>
          <w:sz w:val="44"/>
          <w:szCs w:val="44"/>
        </w:rPr>
        <w:sectPr>
          <w:type w:val="evenPage"/>
          <w:pgSz w:w="11907" w:h="16839"/>
          <w:pgMar w:top="1418" w:right="1418" w:bottom="1418" w:left="1418" w:header="851" w:footer="567" w:gutter="0"/>
          <w:cols w:space="425" w:num="1"/>
          <w:titlePg/>
          <w:docGrid w:type="lines" w:linePitch="312" w:charSpace="0"/>
        </w:sectPr>
      </w:pPr>
    </w:p>
    <w:p>
      <w:pPr>
        <w:pStyle w:val="9"/>
        <w:adjustRightInd w:val="0"/>
        <w:snapToGrid w:val="0"/>
        <w:spacing w:before="0" w:beforeAutospacing="0" w:after="0" w:afterAutospacing="0"/>
        <w:jc w:val="center"/>
        <w:rPr>
          <w:rFonts w:ascii="方正小标宋_GBK" w:hAnsi="黑体" w:eastAsia="方正小标宋_GBK"/>
          <w:bCs/>
          <w:sz w:val="44"/>
          <w:szCs w:val="44"/>
        </w:rPr>
      </w:pPr>
      <w:r>
        <w:rPr>
          <w:rFonts w:hint="eastAsia" w:ascii="方正小标宋_GBK" w:hAnsi="黑体" w:eastAsia="方正小标宋_GBK"/>
          <w:bCs/>
          <w:sz w:val="44"/>
          <w:szCs w:val="44"/>
        </w:rPr>
        <w:t>第三部分 2019年部门预算情况说明</w:t>
      </w:r>
    </w:p>
    <w:p>
      <w:pPr>
        <w:pStyle w:val="9"/>
        <w:widowControl w:val="0"/>
        <w:adjustRightInd w:val="0"/>
        <w:snapToGrid w:val="0"/>
        <w:spacing w:before="0" w:beforeAutospacing="0" w:after="0" w:afterAutospacing="0" w:line="600" w:lineRule="exact"/>
        <w:ind w:firstLine="640" w:firstLineChars="200"/>
        <w:rPr>
          <w:rFonts w:ascii="黑体" w:hAnsi="黑体" w:eastAsia="黑体"/>
          <w:bCs/>
          <w:sz w:val="32"/>
          <w:szCs w:val="32"/>
        </w:rPr>
      </w:pPr>
    </w:p>
    <w:p>
      <w:pPr>
        <w:pStyle w:val="9"/>
        <w:widowControl w:val="0"/>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一、关于2019年财政拨款收支预算总体情况说明</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寿县妇女联合会2019年财政拨款收支预算134.8万元。收入按资金来源全部为一般公共预算拨款；按资金年度全部为当年财政拨款收入。支出按功能分类分为：一般公共服务支出125.9万元，占93.4%，卫生健康支出3.1万元，占2.3%；住房保障支出5.8万元，占4.3%。</w:t>
      </w:r>
    </w:p>
    <w:p>
      <w:pPr>
        <w:pStyle w:val="9"/>
        <w:widowControl w:val="0"/>
        <w:adjustRightInd w:val="0"/>
        <w:snapToGrid w:val="0"/>
        <w:spacing w:before="0" w:beforeAutospacing="0" w:after="0" w:afterAutospacing="0" w:line="600" w:lineRule="exact"/>
        <w:ind w:firstLine="640" w:firstLineChars="200"/>
        <w:rPr>
          <w:rFonts w:ascii="黑体" w:hAnsi="仿宋" w:eastAsia="黑体" w:cs="Times New Roman"/>
          <w:kern w:val="2"/>
          <w:sz w:val="32"/>
          <w:szCs w:val="32"/>
        </w:rPr>
      </w:pPr>
      <w:r>
        <w:rPr>
          <w:rFonts w:hint="eastAsia" w:ascii="黑体" w:hAnsi="仿宋" w:eastAsia="黑体" w:cs="Times New Roman"/>
          <w:kern w:val="2"/>
          <w:sz w:val="32"/>
          <w:szCs w:val="32"/>
        </w:rPr>
        <w:t>二、关于2019年一般公共预算拨款情况说明</w:t>
      </w:r>
    </w:p>
    <w:p>
      <w:pPr>
        <w:pStyle w:val="9"/>
        <w:widowControl w:val="0"/>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 xml:space="preserve">（一）一般公共预算拨款规模变化情况 </w:t>
      </w:r>
    </w:p>
    <w:p>
      <w:pPr>
        <w:pStyle w:val="9"/>
        <w:widowControl w:val="0"/>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寿县妇女联合会2019年一般公共预算拨款134.8万元，比2018年预算拨款增加6.7万元，增长5.2%，</w:t>
      </w:r>
      <w:r>
        <w:rPr>
          <w:rFonts w:hint="eastAsia" w:ascii="仿宋_GB2312" w:hAnsi="仿宋" w:eastAsia="仿宋_GB2312"/>
          <w:sz w:val="32"/>
          <w:szCs w:val="32"/>
        </w:rPr>
        <w:t>增长</w:t>
      </w:r>
      <w:r>
        <w:rPr>
          <w:rFonts w:hint="eastAsia" w:ascii="仿宋_GB2312" w:hAnsi="仿宋" w:eastAsia="仿宋_GB2312" w:cs="Times New Roman"/>
          <w:kern w:val="2"/>
          <w:sz w:val="32"/>
          <w:szCs w:val="32"/>
        </w:rPr>
        <w:t>主要原因是2019年单位新增工作人员，保障单位正常运转的人员工资、养老金等基本支出自然增长。</w:t>
      </w:r>
    </w:p>
    <w:p>
      <w:pPr>
        <w:pStyle w:val="9"/>
        <w:widowControl w:val="0"/>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一般公共预算拨款结构情况。</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一般公共服务支出125.9万元，占93.4%，卫生健康支出3.1万元，占2.3%；住房保障支出5.8万元，占4.3%。</w:t>
      </w:r>
    </w:p>
    <w:p>
      <w:pPr>
        <w:adjustRightInd w:val="0"/>
        <w:snapToGrid w:val="0"/>
        <w:spacing w:line="600" w:lineRule="exact"/>
        <w:ind w:firstLine="643" w:firstLineChars="200"/>
        <w:jc w:val="left"/>
        <w:rPr>
          <w:rFonts w:ascii="楷体_GB2312" w:hAnsi="仿宋" w:eastAsia="楷体_GB2312"/>
          <w:b/>
          <w:sz w:val="32"/>
          <w:szCs w:val="32"/>
        </w:rPr>
      </w:pPr>
      <w:r>
        <w:rPr>
          <w:rFonts w:hint="eastAsia" w:ascii="楷体_GB2312" w:hAnsi="仿宋" w:eastAsia="楷体_GB2312"/>
          <w:b/>
          <w:sz w:val="32"/>
          <w:szCs w:val="32"/>
        </w:rPr>
        <w:t xml:space="preserve">（三）一般公共预算拨款具体使用情况 </w:t>
      </w:r>
    </w:p>
    <w:p>
      <w:pPr>
        <w:pStyle w:val="9"/>
        <w:widowControl w:val="0"/>
        <w:adjustRightInd w:val="0"/>
        <w:snapToGrid w:val="0"/>
        <w:spacing w:before="0" w:beforeAutospacing="0" w:after="0" w:afterAutospacing="0" w:line="600" w:lineRule="exact"/>
        <w:ind w:firstLine="630" w:firstLineChars="196"/>
        <w:rPr>
          <w:rFonts w:ascii="仿宋_GB2312" w:hAnsi="仿宋" w:eastAsia="仿宋_GB2312" w:cs="Times New Roman"/>
          <w:kern w:val="2"/>
          <w:sz w:val="32"/>
          <w:szCs w:val="32"/>
        </w:rPr>
      </w:pPr>
      <w:r>
        <w:rPr>
          <w:rFonts w:hint="eastAsia" w:ascii="仿宋_GB2312" w:hAnsi="仿宋" w:eastAsia="仿宋_GB2312"/>
          <w:b/>
          <w:sz w:val="32"/>
          <w:szCs w:val="32"/>
        </w:rPr>
        <w:t>1.</w:t>
      </w:r>
      <w:r>
        <w:rPr>
          <w:rFonts w:hint="eastAsia" w:ascii="仿宋_GB2312" w:hAnsi="仿宋"/>
          <w:b/>
          <w:sz w:val="32"/>
          <w:szCs w:val="32"/>
        </w:rPr>
        <w:t xml:space="preserve"> </w:t>
      </w:r>
      <w:r>
        <w:rPr>
          <w:rFonts w:hint="eastAsia" w:ascii="仿宋_GB2312" w:hAnsi="仿宋" w:eastAsia="仿宋_GB2312"/>
          <w:b/>
          <w:sz w:val="32"/>
          <w:szCs w:val="32"/>
        </w:rPr>
        <w:t>一般公共服务支出（类）群众团体（款）行政运行（项）</w:t>
      </w:r>
      <w:r>
        <w:rPr>
          <w:rFonts w:hint="eastAsia" w:ascii="仿宋_GB2312" w:hAnsi="仿宋" w:eastAsia="仿宋_GB2312"/>
          <w:sz w:val="32"/>
          <w:szCs w:val="32"/>
        </w:rPr>
        <w:t>2019年预算125.9万元，比2018年预算增加7.2万元，增长6.1%，增长</w:t>
      </w:r>
      <w:r>
        <w:rPr>
          <w:rFonts w:hint="eastAsia" w:ascii="仿宋_GB2312" w:hAnsi="仿宋" w:eastAsia="仿宋_GB2312" w:cs="Times New Roman"/>
          <w:kern w:val="2"/>
          <w:sz w:val="32"/>
          <w:szCs w:val="32"/>
        </w:rPr>
        <w:t>主要原因是2019年单位新增工作人员，保障单位正常运转的人员工资、养老金等基本支出自然增长。</w:t>
      </w:r>
    </w:p>
    <w:p>
      <w:pPr>
        <w:pStyle w:val="9"/>
        <w:widowControl w:val="0"/>
        <w:adjustRightInd w:val="0"/>
        <w:snapToGrid w:val="0"/>
        <w:spacing w:before="0" w:beforeAutospacing="0" w:after="0" w:afterAutospacing="0" w:line="600" w:lineRule="exact"/>
        <w:ind w:firstLine="630" w:firstLineChars="196"/>
        <w:rPr>
          <w:rFonts w:ascii="仿宋_GB2312" w:hAnsi="仿宋" w:eastAsia="仿宋_GB2312" w:cs="Times New Roman"/>
          <w:kern w:val="2"/>
          <w:sz w:val="32"/>
          <w:szCs w:val="32"/>
        </w:rPr>
      </w:pPr>
      <w:r>
        <w:rPr>
          <w:rFonts w:hint="eastAsia" w:ascii="仿宋_GB2312" w:hAnsi="仿宋" w:eastAsia="仿宋_GB2312"/>
          <w:b/>
          <w:sz w:val="32"/>
          <w:szCs w:val="32"/>
        </w:rPr>
        <w:t>2.卫生健康支出（类）行政事业单位医疗支出（款）事业单位医疗（项）</w:t>
      </w:r>
      <w:r>
        <w:rPr>
          <w:rFonts w:hint="eastAsia" w:ascii="仿宋_GB2312" w:hAnsi="仿宋" w:eastAsia="仿宋_GB2312"/>
          <w:sz w:val="32"/>
          <w:szCs w:val="32"/>
        </w:rPr>
        <w:t>2019年预算3.1万元，比2018年预算增加0.8万元，增长34.8%，增长</w:t>
      </w:r>
      <w:r>
        <w:rPr>
          <w:rFonts w:hint="eastAsia" w:ascii="仿宋_GB2312" w:hAnsi="仿宋" w:eastAsia="仿宋_GB2312" w:cs="Times New Roman"/>
          <w:kern w:val="2"/>
          <w:sz w:val="32"/>
          <w:szCs w:val="32"/>
        </w:rPr>
        <w:t>主要原因是行政单位医疗保险支出随工资基数增长。</w:t>
      </w:r>
    </w:p>
    <w:p>
      <w:pPr>
        <w:pStyle w:val="9"/>
        <w:widowControl w:val="0"/>
        <w:adjustRightInd w:val="0"/>
        <w:snapToGrid w:val="0"/>
        <w:spacing w:before="0" w:beforeAutospacing="0" w:after="0" w:afterAutospacing="0" w:line="600" w:lineRule="exact"/>
        <w:ind w:firstLine="630" w:firstLineChars="196"/>
        <w:rPr>
          <w:rFonts w:ascii="仿宋_GB2312" w:hAnsi="仿宋" w:eastAsia="仿宋_GB2312"/>
          <w:sz w:val="32"/>
          <w:szCs w:val="32"/>
        </w:rPr>
      </w:pPr>
      <w:r>
        <w:rPr>
          <w:rFonts w:hint="eastAsia" w:ascii="仿宋_GB2312" w:hAnsi="仿宋" w:eastAsia="仿宋_GB2312"/>
          <w:b/>
          <w:sz w:val="32"/>
          <w:szCs w:val="32"/>
        </w:rPr>
        <w:t>4.住房保障支出（类）住房改革支出（款）住房公积金（项）</w:t>
      </w:r>
      <w:r>
        <w:rPr>
          <w:rFonts w:hint="eastAsia" w:ascii="仿宋_GB2312" w:hAnsi="仿宋" w:eastAsia="仿宋_GB2312"/>
          <w:sz w:val="32"/>
          <w:szCs w:val="32"/>
        </w:rPr>
        <w:t>2019年预算5.8万元，比2018年预算增加1.6万元，增长38.1%，增长原因主要是住房公积金缴存基数随工资基数增长。</w:t>
      </w:r>
    </w:p>
    <w:p>
      <w:pPr>
        <w:pStyle w:val="9"/>
        <w:widowControl w:val="0"/>
        <w:adjustRightInd w:val="0"/>
        <w:snapToGrid w:val="0"/>
        <w:spacing w:before="0" w:beforeAutospacing="0" w:after="0" w:afterAutospacing="0" w:line="600" w:lineRule="exact"/>
        <w:ind w:firstLine="640" w:firstLineChars="200"/>
        <w:rPr>
          <w:rFonts w:ascii="黑体" w:eastAsia="黑体"/>
          <w:sz w:val="32"/>
          <w:szCs w:val="32"/>
        </w:rPr>
      </w:pPr>
      <w:r>
        <w:rPr>
          <w:rFonts w:hint="eastAsia" w:ascii="黑体" w:hAnsi="仿宋" w:eastAsia="黑体" w:cs="Times New Roman"/>
          <w:kern w:val="2"/>
          <w:sz w:val="32"/>
          <w:szCs w:val="32"/>
        </w:rPr>
        <w:t>三、关于2019年一般公共预算基本支出情况说明</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寿县妇女联合会</w:t>
      </w:r>
      <w:r>
        <w:rPr>
          <w:rFonts w:hint="eastAsia" w:ascii="仿宋_GB2312" w:hAnsi="仿宋" w:eastAsia="仿宋_GB2312"/>
          <w:sz w:val="32"/>
          <w:szCs w:val="32"/>
        </w:rPr>
        <w:t>2019年一般公共预算基本支出75.8万元，其中：</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工资福利支出66.8万元，主要包括：基本工资、津贴补贴、奖金、机关事业单位基本养老保险缴费、职工基本医疗保险缴费、其他社会保障缴费、住房公积金等支出。商品和服务支出9万元，主要包括：办公费、会议费、工会经费等支出。</w:t>
      </w:r>
    </w:p>
    <w:p>
      <w:pPr>
        <w:pStyle w:val="9"/>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四、关于2019年政府性基金预算拨款情况说明</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寿县妇女联合会</w:t>
      </w:r>
      <w:r>
        <w:rPr>
          <w:rFonts w:hint="eastAsia" w:ascii="仿宋_GB2312" w:hAnsi="仿宋" w:eastAsia="仿宋_GB2312"/>
          <w:sz w:val="32"/>
          <w:szCs w:val="32"/>
        </w:rPr>
        <w:t>2019年没有政府性基金预算拨款收入，也没有使用政府性基金预算拨款安排的支出。</w:t>
      </w:r>
    </w:p>
    <w:p>
      <w:pPr>
        <w:pStyle w:val="9"/>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五、关于2019年国有资本经营预算拨款情况说明</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寿县妇女联合会</w:t>
      </w:r>
      <w:r>
        <w:rPr>
          <w:rFonts w:hint="eastAsia" w:ascii="仿宋_GB2312" w:hAnsi="仿宋" w:eastAsia="仿宋_GB2312"/>
          <w:sz w:val="32"/>
          <w:szCs w:val="32"/>
        </w:rPr>
        <w:t>2019年没有国有资本经营预算拨款收入，也没有使用国有资本经营预算拨款安排的支出。</w:t>
      </w:r>
    </w:p>
    <w:p>
      <w:pPr>
        <w:pStyle w:val="9"/>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六、关于2019年收支预算总体情况说明</w:t>
      </w:r>
    </w:p>
    <w:p>
      <w:pPr>
        <w:pStyle w:val="9"/>
        <w:widowControl w:val="0"/>
        <w:adjustRightInd w:val="0"/>
        <w:snapToGrid w:val="0"/>
        <w:spacing w:before="0" w:beforeAutospacing="0" w:after="0" w:afterAutospacing="0" w:line="600" w:lineRule="exact"/>
        <w:ind w:firstLine="627" w:firstLineChars="196"/>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cs="Times New Roman"/>
          <w:kern w:val="2"/>
          <w:sz w:val="32"/>
          <w:szCs w:val="32"/>
        </w:rPr>
        <w:t>寿县妇女联合会</w:t>
      </w:r>
      <w:r>
        <w:rPr>
          <w:rFonts w:hint="eastAsia" w:ascii="仿宋_GB2312" w:hAnsi="仿宋" w:eastAsia="仿宋_GB2312"/>
          <w:sz w:val="32"/>
          <w:szCs w:val="32"/>
        </w:rPr>
        <w:t>所有收入和支出均纳入部门预算管理。</w:t>
      </w:r>
      <w:r>
        <w:rPr>
          <w:rFonts w:hint="eastAsia" w:ascii="仿宋_GB2312" w:hAnsi="仿宋" w:eastAsia="仿宋_GB2312" w:cs="Times New Roman"/>
          <w:kern w:val="2"/>
          <w:sz w:val="32"/>
          <w:szCs w:val="32"/>
        </w:rPr>
        <w:t>寿县妇女联合会</w:t>
      </w:r>
      <w:r>
        <w:rPr>
          <w:rFonts w:hint="eastAsia" w:ascii="仿宋_GB2312" w:hAnsi="仿宋" w:eastAsia="仿宋_GB2312"/>
          <w:sz w:val="32"/>
          <w:szCs w:val="32"/>
        </w:rPr>
        <w:t>2019年收支总预算134.8万元，收入全部是一般公共预算拨款收入，支出包括：一般公共服务支出、卫生健康支出、住房保障支出。</w:t>
      </w:r>
    </w:p>
    <w:p>
      <w:pPr>
        <w:pStyle w:val="9"/>
        <w:widowControl w:val="0"/>
        <w:adjustRightInd w:val="0"/>
        <w:snapToGrid w:val="0"/>
        <w:spacing w:before="0" w:beforeAutospacing="0" w:after="0" w:afterAutospacing="0" w:line="600" w:lineRule="exact"/>
        <w:ind w:firstLine="627" w:firstLineChars="196"/>
        <w:rPr>
          <w:rFonts w:ascii="黑体" w:hAnsi="黑体" w:eastAsia="黑体"/>
          <w:sz w:val="32"/>
          <w:szCs w:val="32"/>
        </w:rPr>
      </w:pPr>
      <w:r>
        <w:rPr>
          <w:rFonts w:hint="eastAsia" w:ascii="黑体" w:hAnsi="黑体" w:eastAsia="黑体"/>
          <w:sz w:val="32"/>
          <w:szCs w:val="32"/>
        </w:rPr>
        <w:t>七、关于2019年收入预算情况说明</w:t>
      </w:r>
    </w:p>
    <w:p>
      <w:pPr>
        <w:pStyle w:val="9"/>
        <w:widowControl w:val="0"/>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sz w:val="32"/>
          <w:szCs w:val="32"/>
        </w:rPr>
        <w:t>寿县妇女联合会2019年收入预算134.8万元，收入全部为一般公共预算拨款收入，比2018年预算</w:t>
      </w:r>
      <w:r>
        <w:rPr>
          <w:rFonts w:hint="eastAsia" w:ascii="仿宋_GB2312" w:hAnsi="仿宋" w:eastAsia="仿宋_GB2312" w:cs="Times New Roman"/>
          <w:kern w:val="2"/>
          <w:sz w:val="32"/>
          <w:szCs w:val="32"/>
        </w:rPr>
        <w:t>增加6.7万元，增长5.2%，</w:t>
      </w:r>
      <w:r>
        <w:rPr>
          <w:rFonts w:hint="eastAsia" w:ascii="仿宋_GB2312" w:hAnsi="仿宋" w:eastAsia="仿宋_GB2312"/>
          <w:sz w:val="32"/>
          <w:szCs w:val="32"/>
        </w:rPr>
        <w:t>增长</w:t>
      </w:r>
      <w:r>
        <w:rPr>
          <w:rFonts w:hint="eastAsia" w:ascii="仿宋_GB2312" w:hAnsi="仿宋" w:eastAsia="仿宋_GB2312" w:cs="Times New Roman"/>
          <w:kern w:val="2"/>
          <w:sz w:val="32"/>
          <w:szCs w:val="32"/>
        </w:rPr>
        <w:t>主要原因是2019年单位新增工作人员，保障单位正常运转的人员工资、养老金等基本支出自然增长。</w:t>
      </w:r>
    </w:p>
    <w:p>
      <w:pPr>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八、关于2019年支出预算情况说明</w:t>
      </w:r>
    </w:p>
    <w:p>
      <w:pPr>
        <w:pStyle w:val="9"/>
        <w:widowControl w:val="0"/>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sz w:val="32"/>
          <w:szCs w:val="32"/>
        </w:rPr>
        <w:t>寿县妇女联合会2019年支出预算134.8万元，比2018年预算增加6.7万元，增长5.2%，增长</w:t>
      </w:r>
      <w:r>
        <w:rPr>
          <w:rFonts w:hint="eastAsia" w:ascii="仿宋_GB2312" w:hAnsi="仿宋" w:eastAsia="仿宋_GB2312" w:cs="Times New Roman"/>
          <w:kern w:val="2"/>
          <w:sz w:val="32"/>
          <w:szCs w:val="32"/>
        </w:rPr>
        <w:t>主要原因是2019年单位新增工作人员，保障单位正常运转的人员工资、养老金等基本支出自然增长。</w:t>
      </w:r>
      <w:r>
        <w:rPr>
          <w:rFonts w:hint="eastAsia" w:ascii="仿宋_GB2312" w:hAnsi="仿宋" w:eastAsia="仿宋_GB2312"/>
          <w:sz w:val="32"/>
          <w:szCs w:val="32"/>
        </w:rPr>
        <w:t>其中，基本支出75.8万元，占56.2%，主要用于保障机构日常运转、完成日常工作任务等；项目支出59万元，占43.8%，主要用于妇女专项工作经费等支出。</w:t>
      </w:r>
    </w:p>
    <w:p>
      <w:pPr>
        <w:widowControl/>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 xml:space="preserve">九、关于2019年“三公”经费财政拨款预算情况说明 </w:t>
      </w:r>
    </w:p>
    <w:p>
      <w:pPr>
        <w:pStyle w:val="9"/>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1.因公出国（境）费用： 2019年寿县妇女联合会未安排因公出国（境）费用预算，与上年预算数持平。</w:t>
      </w:r>
    </w:p>
    <w:p>
      <w:pPr>
        <w:pStyle w:val="9"/>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2.公务接待费：2019年安排公务接待费预算</w:t>
      </w:r>
      <w:r>
        <w:rPr>
          <w:rFonts w:hint="eastAsia" w:ascii="仿宋_GB2312" w:hAnsi="仿宋" w:eastAsia="仿宋_GB2312"/>
          <w:sz w:val="32"/>
          <w:szCs w:val="32"/>
        </w:rPr>
        <w:t>4</w:t>
      </w:r>
      <w:r>
        <w:rPr>
          <w:rFonts w:hint="eastAsia" w:ascii="仿宋_GB2312" w:hAnsi="Verdana" w:eastAsia="仿宋_GB2312" w:cs="Times New Roman"/>
          <w:kern w:val="2"/>
          <w:sz w:val="32"/>
          <w:szCs w:val="32"/>
        </w:rPr>
        <w:t>万元，与上年预算数持平。主</w:t>
      </w:r>
      <w:r>
        <w:rPr>
          <w:rFonts w:hint="eastAsia" w:ascii="仿宋_GB2312" w:eastAsia="仿宋_GB2312"/>
          <w:color w:val="000000"/>
          <w:sz w:val="30"/>
          <w:szCs w:val="30"/>
        </w:rPr>
        <w:t>要用于接待</w:t>
      </w:r>
      <w:r>
        <w:rPr>
          <w:rFonts w:hint="eastAsia" w:ascii="仿宋_GB2312" w:hAnsi="华文仿宋" w:eastAsia="仿宋_GB2312"/>
          <w:sz w:val="32"/>
          <w:szCs w:val="32"/>
        </w:rPr>
        <w:t>上级检查、其它市县来考察、调研等</w:t>
      </w:r>
      <w:r>
        <w:rPr>
          <w:rFonts w:hint="eastAsia" w:ascii="仿宋_GB2312" w:hAnsi="Verdana" w:eastAsia="仿宋_GB2312" w:cs="Times New Roman"/>
          <w:kern w:val="2"/>
          <w:sz w:val="32"/>
          <w:szCs w:val="32"/>
        </w:rPr>
        <w:t>支出。持平原因是两年该项目支出内容基本相同。</w:t>
      </w:r>
    </w:p>
    <w:p>
      <w:pPr>
        <w:pStyle w:val="9"/>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3.</w:t>
      </w:r>
      <w:r>
        <w:rPr>
          <w:rFonts w:hint="eastAsia"/>
        </w:rPr>
        <w:t xml:space="preserve"> </w:t>
      </w:r>
      <w:r>
        <w:rPr>
          <w:rFonts w:hint="eastAsia" w:ascii="仿宋_GB2312" w:hAnsi="Verdana" w:eastAsia="仿宋_GB2312" w:cs="Times New Roman"/>
          <w:kern w:val="2"/>
          <w:sz w:val="32"/>
          <w:szCs w:val="32"/>
        </w:rPr>
        <w:t>公务用车购置及运行维护费：2019年没有安排公务用车购置及运行维护费预算，与上年预算数持平。持平原因是寿县妇女联合会已于2016年车改。</w:t>
      </w:r>
    </w:p>
    <w:p>
      <w:pPr>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十、其他重要事项情况说明</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（一）项目及绩效目标情况</w:t>
      </w:r>
    </w:p>
    <w:p>
      <w:pPr>
        <w:adjustRightInd w:val="0"/>
        <w:snapToGrid w:val="0"/>
        <w:spacing w:line="600" w:lineRule="exact"/>
        <w:ind w:firstLine="800" w:firstLineChars="250"/>
        <w:jc w:val="left"/>
        <w:rPr>
          <w:rFonts w:ascii="仿宋_GB2312" w:hAnsi="楷体" w:eastAsia="仿宋_GB2312"/>
          <w:sz w:val="32"/>
          <w:szCs w:val="32"/>
        </w:rPr>
      </w:pPr>
      <w:r>
        <w:rPr>
          <w:rFonts w:hint="eastAsia" w:ascii="仿宋_GB2312" w:hAnsi="楷体" w:eastAsia="仿宋_GB2312"/>
          <w:sz w:val="32"/>
          <w:szCs w:val="32"/>
        </w:rPr>
        <w:t>寿县妇女联合会2019年没有需要编制绩效目标的项目。</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（二）机关运行经费</w:t>
      </w:r>
    </w:p>
    <w:p>
      <w:pPr>
        <w:adjustRightInd w:val="0"/>
        <w:snapToGrid w:val="0"/>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寿县妇女联合会2019年机关运行经费财政拨款预算9万元，比2018年增加1.8万元，增长25%，增长主要原因是单位增加了工作人员，相应公用经费等自然增长。</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（三）政府采购情况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寿县妇女联合会</w:t>
      </w:r>
      <w:r>
        <w:rPr>
          <w:rFonts w:hint="eastAsia" w:ascii="仿宋_GB2312" w:hAnsi="楷体" w:eastAsia="仿宋_GB2312"/>
          <w:sz w:val="32"/>
          <w:szCs w:val="32"/>
        </w:rPr>
        <w:t>2019年政府采购预算总额1万元。其中：政府采购货物预算1万元。</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（四）政府购买服务情况</w:t>
      </w:r>
    </w:p>
    <w:p>
      <w:pPr>
        <w:adjustRightInd w:val="0"/>
        <w:snapToGrid w:val="0"/>
        <w:spacing w:line="600" w:lineRule="exact"/>
        <w:ind w:firstLine="640" w:firstLineChars="200"/>
        <w:jc w:val="left"/>
        <w:rPr>
          <w:rFonts w:ascii="仿宋_GB2312" w:hAnsi="楷体" w:eastAsia="仿宋_GB2312"/>
          <w:b/>
          <w:sz w:val="32"/>
          <w:szCs w:val="32"/>
        </w:rPr>
      </w:pPr>
      <w:r>
        <w:rPr>
          <w:rFonts w:hint="eastAsia" w:ascii="仿宋_GB2312" w:hAnsi="仿宋" w:eastAsia="仿宋_GB2312"/>
          <w:sz w:val="32"/>
          <w:szCs w:val="32"/>
        </w:rPr>
        <w:t>寿县妇女联合会2019年度未安排</w:t>
      </w:r>
      <w:r>
        <w:rPr>
          <w:rFonts w:hint="eastAsia" w:ascii="仿宋_GB2312" w:hAnsi="楷体" w:eastAsia="仿宋_GB2312"/>
          <w:sz w:val="32"/>
          <w:szCs w:val="32"/>
        </w:rPr>
        <w:t>政府购买服务支出。</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（五）国有资产占有使用情况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截至2018年底，寿县妇女联合会</w:t>
      </w:r>
      <w:r>
        <w:rPr>
          <w:rFonts w:hint="eastAsia" w:ascii="仿宋_GB2312" w:hAnsi="楷体" w:eastAsia="仿宋_GB2312"/>
          <w:sz w:val="32"/>
          <w:szCs w:val="32"/>
        </w:rPr>
        <w:t>共有车辆0辆。单位价值50万元以上的通用设备0台（套），单位价值100万元以上的专用设备0台（套）。</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2019年部门预算安排购置公务用车0辆；安排购置单位价值50万元以上的通用设备0台（套）；安排购置单位价值100万元以上专用设备0台（套）。</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（六）预算绩效目标设置情况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寿县妇女联合会</w:t>
      </w:r>
      <w:r>
        <w:rPr>
          <w:rFonts w:hint="eastAsia" w:ascii="仿宋_GB2312" w:hAnsi="楷体" w:eastAsia="仿宋_GB2312"/>
          <w:sz w:val="32"/>
          <w:szCs w:val="32"/>
        </w:rPr>
        <w:t>2019年无绩效目标支出项目。</w:t>
      </w:r>
    </w:p>
    <w:p>
      <w:pPr>
        <w:adjustRightInd w:val="0"/>
        <w:snapToGrid w:val="0"/>
        <w:spacing w:line="560" w:lineRule="exact"/>
        <w:jc w:val="center"/>
        <w:rPr>
          <w:rFonts w:ascii="方正小标宋_GBK" w:hAnsi="黑体" w:eastAsia="方正小标宋_GBK" w:cs="宋体"/>
          <w:bCs/>
          <w:sz w:val="44"/>
          <w:szCs w:val="44"/>
        </w:rPr>
      </w:pPr>
    </w:p>
    <w:p>
      <w:pPr>
        <w:adjustRightInd w:val="0"/>
        <w:snapToGrid w:val="0"/>
        <w:spacing w:line="560" w:lineRule="exact"/>
        <w:jc w:val="center"/>
        <w:rPr>
          <w:rFonts w:ascii="方正小标宋_GBK" w:hAnsi="黑体" w:eastAsia="方正小标宋_GBK" w:cs="宋体"/>
          <w:bCs/>
          <w:sz w:val="44"/>
          <w:szCs w:val="44"/>
        </w:rPr>
      </w:pPr>
    </w:p>
    <w:p>
      <w:pPr>
        <w:adjustRightInd w:val="0"/>
        <w:snapToGrid w:val="0"/>
        <w:spacing w:line="560" w:lineRule="exact"/>
        <w:jc w:val="center"/>
        <w:rPr>
          <w:rFonts w:ascii="方正小标宋_GBK" w:hAnsi="黑体" w:eastAsia="方正小标宋_GBK" w:cs="宋体"/>
          <w:bCs/>
          <w:sz w:val="44"/>
          <w:szCs w:val="44"/>
        </w:rPr>
      </w:pPr>
    </w:p>
    <w:p>
      <w:pPr>
        <w:adjustRightInd w:val="0"/>
        <w:snapToGrid w:val="0"/>
        <w:spacing w:line="560" w:lineRule="exact"/>
        <w:jc w:val="center"/>
        <w:rPr>
          <w:rFonts w:ascii="仿宋_GB2312" w:hAnsi="楷体" w:eastAsia="仿宋_GB2312"/>
          <w:sz w:val="32"/>
          <w:szCs w:val="32"/>
        </w:rPr>
      </w:pPr>
      <w:r>
        <w:rPr>
          <w:rFonts w:hint="eastAsia" w:ascii="方正小标宋_GBK" w:hAnsi="黑体" w:eastAsia="方正小标宋_GBK" w:cs="宋体"/>
          <w:bCs/>
          <w:sz w:val="44"/>
          <w:szCs w:val="44"/>
        </w:rPr>
        <w:t>第四部分 名词解释</w:t>
      </w:r>
    </w:p>
    <w:p>
      <w:pPr>
        <w:adjustRightInd w:val="0"/>
        <w:snapToGrid w:val="0"/>
        <w:spacing w:line="600" w:lineRule="exact"/>
        <w:ind w:firstLine="640" w:firstLineChars="200"/>
        <w:rPr>
          <w:rFonts w:ascii="黑体" w:hAnsi="黑体" w:eastAsia="黑体"/>
          <w:sz w:val="32"/>
          <w:szCs w:val="32"/>
        </w:rPr>
      </w:pPr>
    </w:p>
    <w:p>
      <w:pPr>
        <w:adjustRightInd w:val="0"/>
        <w:snapToGrid w:val="0"/>
        <w:spacing w:line="600" w:lineRule="exact"/>
        <w:ind w:firstLine="640" w:firstLineChars="200"/>
        <w:jc w:val="left"/>
        <w:rPr>
          <w:rFonts w:ascii="仿宋_GB2312" w:hAnsi="黑体" w:eastAsia="仿宋_GB2312"/>
          <w:sz w:val="32"/>
          <w:szCs w:val="32"/>
        </w:rPr>
      </w:pPr>
      <w:r>
        <w:rPr>
          <w:rFonts w:hint="eastAsia" w:ascii="黑体" w:hAnsi="黑体" w:eastAsia="黑体"/>
          <w:sz w:val="32"/>
          <w:szCs w:val="32"/>
        </w:rPr>
        <w:t>一、财政拨款收入</w:t>
      </w:r>
      <w:r>
        <w:rPr>
          <w:rFonts w:hint="eastAsia" w:ascii="黑体" w:hAnsi="黑体" w:eastAsia="黑体"/>
          <w:b/>
          <w:sz w:val="32"/>
          <w:szCs w:val="32"/>
        </w:rPr>
        <w:t>：</w:t>
      </w:r>
      <w:r>
        <w:rPr>
          <w:rFonts w:hint="eastAsia" w:ascii="仿宋_GB2312" w:hAnsi="黑体" w:eastAsia="仿宋_GB2312"/>
          <w:sz w:val="32"/>
          <w:szCs w:val="32"/>
        </w:rPr>
        <w:t>指县财政当年拨付的资金，主要包括一般公共预算拨款收入、政府性基金预算拨款收入、国有资本经营预算拨款收入。</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二、财政专户管理非税收入：</w:t>
      </w:r>
      <w:r>
        <w:rPr>
          <w:rFonts w:hint="eastAsia" w:ascii="仿宋_GB2312" w:hAnsi="黑体" w:eastAsia="仿宋_GB2312" w:cs="Times New Roman"/>
          <w:kern w:val="2"/>
          <w:sz w:val="32"/>
          <w:szCs w:val="32"/>
        </w:rPr>
        <w:t>指按照非税收入管理相关规定，纳入财政专户管理的教育收费等。</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三、其他收入：</w:t>
      </w:r>
      <w:r>
        <w:rPr>
          <w:rFonts w:hint="eastAsia" w:ascii="仿宋_GB2312" w:hAnsi="黑体" w:eastAsia="仿宋_GB2312" w:cs="Times New Roman"/>
          <w:kern w:val="2"/>
          <w:sz w:val="32"/>
          <w:szCs w:val="32"/>
        </w:rPr>
        <w:t>指除了财政拨款收入、财政专户管理非税收入等以外的收入。</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四、上年结转：</w:t>
      </w:r>
      <w:r>
        <w:rPr>
          <w:rFonts w:hint="eastAsia" w:ascii="仿宋_GB2312" w:hAnsi="黑体" w:eastAsia="仿宋_GB2312" w:cs="Times New Roman"/>
          <w:kern w:val="2"/>
          <w:sz w:val="32"/>
          <w:szCs w:val="32"/>
        </w:rPr>
        <w:t>指以前年度安排、结转到本年仍按原用途继续使用的资金。</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五、结转下年：</w:t>
      </w:r>
      <w:r>
        <w:rPr>
          <w:rFonts w:hint="eastAsia" w:ascii="仿宋_GB2312" w:hAnsi="黑体" w:eastAsia="仿宋_GB2312" w:cs="Times New Roman"/>
          <w:kern w:val="2"/>
          <w:sz w:val="32"/>
          <w:szCs w:val="32"/>
        </w:rPr>
        <w:t>指以前年度预算安排、因客观条件发生变化无法按原计划实施，需以后年度按原用途继续使用的资金。</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六、基本支出：</w:t>
      </w:r>
      <w:r>
        <w:rPr>
          <w:rFonts w:hint="eastAsia" w:ascii="仿宋_GB2312" w:hAnsi="黑体" w:eastAsia="仿宋_GB2312"/>
          <w:sz w:val="32"/>
          <w:szCs w:val="32"/>
        </w:rPr>
        <w:t>指为保障机构正常运转、完成日常工作任务而发生的人员支出和公用支出。</w:t>
      </w:r>
    </w:p>
    <w:p>
      <w:pPr>
        <w:pStyle w:val="9"/>
        <w:widowControl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七、项目支出：</w:t>
      </w:r>
      <w:r>
        <w:rPr>
          <w:rFonts w:hint="eastAsia" w:ascii="仿宋_GB2312" w:hAnsi="黑体" w:eastAsia="仿宋_GB2312"/>
          <w:sz w:val="32"/>
          <w:szCs w:val="32"/>
        </w:rPr>
        <w:t>指在基本支出之外为完成特定行政任务和事业发展目标所发生的支出。</w:t>
      </w:r>
    </w:p>
    <w:p>
      <w:pPr>
        <w:pStyle w:val="9"/>
        <w:widowControl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9"/>
        <w:widowControl w:val="0"/>
        <w:spacing w:before="0" w:beforeAutospacing="0" w:after="0" w:afterAutospacing="0" w:line="600" w:lineRule="exact"/>
        <w:ind w:firstLine="537" w:firstLineChars="168"/>
        <w:rPr>
          <w:rFonts w:ascii="仿宋_GB2312" w:hAnsi="黑体" w:eastAsia="仿宋_GB2312"/>
          <w:sz w:val="32"/>
          <w:szCs w:val="32"/>
        </w:rPr>
      </w:pPr>
      <w:r>
        <w:rPr>
          <w:rFonts w:hint="eastAsia" w:ascii="黑体" w:hAnsi="黑体" w:eastAsia="黑体" w:cs="Times New Roman"/>
          <w:kern w:val="2"/>
          <w:sz w:val="32"/>
          <w:szCs w:val="32"/>
        </w:rPr>
        <w:t>九、支出功能分类科目:</w:t>
      </w:r>
      <w:r>
        <w:rPr>
          <w:rFonts w:hint="eastAsia" w:ascii="仿宋_GB2312" w:hAnsi="黑体" w:eastAsia="仿宋_GB2312"/>
          <w:sz w:val="32"/>
          <w:szCs w:val="32"/>
        </w:rPr>
        <w:t>主要反映政府活动的不同功能和政策目标，具体设类、款、项三级。</w:t>
      </w:r>
    </w:p>
    <w:p>
      <w:pPr>
        <w:pStyle w:val="9"/>
        <w:widowControl w:val="0"/>
        <w:spacing w:before="0" w:beforeAutospacing="0" w:after="0" w:afterAutospacing="0" w:line="600" w:lineRule="exact"/>
        <w:ind w:firstLine="537" w:firstLineChars="168"/>
        <w:rPr>
          <w:rFonts w:ascii="仿宋_GB2312" w:hAnsi="黑体" w:eastAsia="仿宋_GB2312" w:cs="Arial"/>
          <w:sz w:val="32"/>
          <w:szCs w:val="32"/>
          <w:shd w:val="clear" w:color="auto" w:fill="FFFFFF"/>
        </w:rPr>
      </w:pPr>
      <w:r>
        <w:rPr>
          <w:rFonts w:hint="eastAsia" w:ascii="黑体" w:hAnsi="黑体" w:eastAsia="黑体" w:cs="Times New Roman"/>
          <w:kern w:val="2"/>
          <w:sz w:val="32"/>
          <w:szCs w:val="32"/>
        </w:rPr>
        <w:t>十、支出经济分类科目：</w:t>
      </w:r>
      <w:r>
        <w:rPr>
          <w:rFonts w:hint="eastAsia" w:ascii="仿宋_GB2312" w:hAnsi="黑体" w:eastAsia="仿宋_GB2312"/>
          <w:sz w:val="32"/>
          <w:szCs w:val="32"/>
        </w:rPr>
        <w:t>是指政府支出按经济性质和具体用途所作的一种分类科目，具体设类、款两级。</w:t>
      </w:r>
    </w:p>
    <w:sectPr>
      <w:type w:val="evenPage"/>
      <w:pgSz w:w="11907" w:h="16839"/>
      <w:pgMar w:top="1418" w:right="1418" w:bottom="1418" w:left="1418" w:header="851"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29</w:t>
    </w:r>
    <w:r>
      <w:rPr>
        <w:sz w:val="24"/>
        <w:szCs w:val="24"/>
      </w:rPr>
      <w:fldChar w:fldCharType="end"/>
    </w:r>
    <w:r>
      <w:rPr>
        <w:rFonts w:hint="eastAsia"/>
        <w:sz w:val="24"/>
        <w:szCs w:val="24"/>
      </w:rPr>
      <w:t xml:space="preserve"> —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firstLineChars="200"/>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28</w:t>
    </w:r>
    <w:r>
      <w:rPr>
        <w:sz w:val="24"/>
        <w:szCs w:val="24"/>
      </w:rPr>
      <w:fldChar w:fldCharType="end"/>
    </w:r>
    <w:r>
      <w:rPr>
        <w:rFonts w:hint="eastAsia"/>
        <w:sz w:val="24"/>
        <w:szCs w:val="24"/>
      </w:rPr>
      <w:t xml:space="preserve">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3F"/>
    <w:rsid w:val="00002F6C"/>
    <w:rsid w:val="000068C9"/>
    <w:rsid w:val="00013132"/>
    <w:rsid w:val="000234C0"/>
    <w:rsid w:val="000278FC"/>
    <w:rsid w:val="000535C4"/>
    <w:rsid w:val="00056CC2"/>
    <w:rsid w:val="0006404A"/>
    <w:rsid w:val="0008064A"/>
    <w:rsid w:val="00096920"/>
    <w:rsid w:val="000A2CBC"/>
    <w:rsid w:val="000A61FA"/>
    <w:rsid w:val="000B4F91"/>
    <w:rsid w:val="000C2229"/>
    <w:rsid w:val="000C7173"/>
    <w:rsid w:val="000F692C"/>
    <w:rsid w:val="00113EBB"/>
    <w:rsid w:val="00143AA2"/>
    <w:rsid w:val="00156873"/>
    <w:rsid w:val="00171995"/>
    <w:rsid w:val="001972D1"/>
    <w:rsid w:val="001A6AC2"/>
    <w:rsid w:val="001B277F"/>
    <w:rsid w:val="001E1835"/>
    <w:rsid w:val="001F1092"/>
    <w:rsid w:val="00205529"/>
    <w:rsid w:val="002073AB"/>
    <w:rsid w:val="00222C6F"/>
    <w:rsid w:val="00226331"/>
    <w:rsid w:val="002462FC"/>
    <w:rsid w:val="00265968"/>
    <w:rsid w:val="00271574"/>
    <w:rsid w:val="00280C44"/>
    <w:rsid w:val="00282567"/>
    <w:rsid w:val="002965B6"/>
    <w:rsid w:val="002C2A6D"/>
    <w:rsid w:val="002D10D1"/>
    <w:rsid w:val="002D3200"/>
    <w:rsid w:val="002D7422"/>
    <w:rsid w:val="002E1504"/>
    <w:rsid w:val="002E39A7"/>
    <w:rsid w:val="002F4560"/>
    <w:rsid w:val="002F55AB"/>
    <w:rsid w:val="0031002D"/>
    <w:rsid w:val="003229A9"/>
    <w:rsid w:val="00322A0D"/>
    <w:rsid w:val="00335C22"/>
    <w:rsid w:val="00384A3A"/>
    <w:rsid w:val="00393073"/>
    <w:rsid w:val="003A5E22"/>
    <w:rsid w:val="003C1614"/>
    <w:rsid w:val="003D48C3"/>
    <w:rsid w:val="00402B6E"/>
    <w:rsid w:val="00414CC3"/>
    <w:rsid w:val="00435398"/>
    <w:rsid w:val="0044790E"/>
    <w:rsid w:val="004500F1"/>
    <w:rsid w:val="00453B97"/>
    <w:rsid w:val="00487A1A"/>
    <w:rsid w:val="00490F1D"/>
    <w:rsid w:val="00494086"/>
    <w:rsid w:val="004A5638"/>
    <w:rsid w:val="004E2945"/>
    <w:rsid w:val="004F0FE3"/>
    <w:rsid w:val="005153FF"/>
    <w:rsid w:val="005932DE"/>
    <w:rsid w:val="0059700D"/>
    <w:rsid w:val="005B6A6E"/>
    <w:rsid w:val="005C0DC1"/>
    <w:rsid w:val="005C4BBD"/>
    <w:rsid w:val="005C4CE2"/>
    <w:rsid w:val="005D1222"/>
    <w:rsid w:val="005D1411"/>
    <w:rsid w:val="005E5F48"/>
    <w:rsid w:val="00620BC8"/>
    <w:rsid w:val="00622FD0"/>
    <w:rsid w:val="00627787"/>
    <w:rsid w:val="00647BA6"/>
    <w:rsid w:val="006506AD"/>
    <w:rsid w:val="006512D9"/>
    <w:rsid w:val="006538B7"/>
    <w:rsid w:val="006608B1"/>
    <w:rsid w:val="006608C8"/>
    <w:rsid w:val="0069289F"/>
    <w:rsid w:val="006A1B68"/>
    <w:rsid w:val="006A613C"/>
    <w:rsid w:val="006B645D"/>
    <w:rsid w:val="006D1CBE"/>
    <w:rsid w:val="006E10F3"/>
    <w:rsid w:val="006E7620"/>
    <w:rsid w:val="006F3FEF"/>
    <w:rsid w:val="00716810"/>
    <w:rsid w:val="00725830"/>
    <w:rsid w:val="0074068E"/>
    <w:rsid w:val="0074312A"/>
    <w:rsid w:val="007435EC"/>
    <w:rsid w:val="007462D9"/>
    <w:rsid w:val="007473BA"/>
    <w:rsid w:val="00765CCF"/>
    <w:rsid w:val="00796C8A"/>
    <w:rsid w:val="007B7D20"/>
    <w:rsid w:val="007D7472"/>
    <w:rsid w:val="007F48ED"/>
    <w:rsid w:val="00802245"/>
    <w:rsid w:val="00804E3F"/>
    <w:rsid w:val="00807C87"/>
    <w:rsid w:val="00854ED8"/>
    <w:rsid w:val="00857B59"/>
    <w:rsid w:val="00881EB5"/>
    <w:rsid w:val="008A3F8C"/>
    <w:rsid w:val="008B1916"/>
    <w:rsid w:val="00917229"/>
    <w:rsid w:val="0092537E"/>
    <w:rsid w:val="0092603F"/>
    <w:rsid w:val="00950E76"/>
    <w:rsid w:val="00961DC4"/>
    <w:rsid w:val="00976368"/>
    <w:rsid w:val="009768EE"/>
    <w:rsid w:val="009974AC"/>
    <w:rsid w:val="009B05EA"/>
    <w:rsid w:val="009B78A2"/>
    <w:rsid w:val="009C1B34"/>
    <w:rsid w:val="009D3C1C"/>
    <w:rsid w:val="009D5C4B"/>
    <w:rsid w:val="009F2E80"/>
    <w:rsid w:val="00A16D6D"/>
    <w:rsid w:val="00A21537"/>
    <w:rsid w:val="00A2325B"/>
    <w:rsid w:val="00A27C87"/>
    <w:rsid w:val="00A449A8"/>
    <w:rsid w:val="00A57FFD"/>
    <w:rsid w:val="00A6000C"/>
    <w:rsid w:val="00A71389"/>
    <w:rsid w:val="00A970F1"/>
    <w:rsid w:val="00AA61CF"/>
    <w:rsid w:val="00AA6BAC"/>
    <w:rsid w:val="00AB3BC1"/>
    <w:rsid w:val="00AE13FD"/>
    <w:rsid w:val="00AE3049"/>
    <w:rsid w:val="00AF214E"/>
    <w:rsid w:val="00B01CB0"/>
    <w:rsid w:val="00B0414F"/>
    <w:rsid w:val="00B06DA6"/>
    <w:rsid w:val="00B10E08"/>
    <w:rsid w:val="00B15777"/>
    <w:rsid w:val="00B77C32"/>
    <w:rsid w:val="00BC6995"/>
    <w:rsid w:val="00C101A6"/>
    <w:rsid w:val="00C173A7"/>
    <w:rsid w:val="00C23C2F"/>
    <w:rsid w:val="00C30B3C"/>
    <w:rsid w:val="00C44567"/>
    <w:rsid w:val="00C46CA2"/>
    <w:rsid w:val="00C56682"/>
    <w:rsid w:val="00C601DF"/>
    <w:rsid w:val="00C61463"/>
    <w:rsid w:val="00C66BAD"/>
    <w:rsid w:val="00C9073F"/>
    <w:rsid w:val="00CA51F9"/>
    <w:rsid w:val="00CC28E8"/>
    <w:rsid w:val="00CF4E72"/>
    <w:rsid w:val="00CF50D1"/>
    <w:rsid w:val="00D328F6"/>
    <w:rsid w:val="00D33205"/>
    <w:rsid w:val="00D369B7"/>
    <w:rsid w:val="00D3777B"/>
    <w:rsid w:val="00D42F4C"/>
    <w:rsid w:val="00D613DF"/>
    <w:rsid w:val="00D65303"/>
    <w:rsid w:val="00D6781F"/>
    <w:rsid w:val="00D724C5"/>
    <w:rsid w:val="00D87D8C"/>
    <w:rsid w:val="00DB539F"/>
    <w:rsid w:val="00DB59E6"/>
    <w:rsid w:val="00DC0935"/>
    <w:rsid w:val="00DF56CF"/>
    <w:rsid w:val="00E03217"/>
    <w:rsid w:val="00E1599F"/>
    <w:rsid w:val="00E2477F"/>
    <w:rsid w:val="00E25932"/>
    <w:rsid w:val="00E32A4B"/>
    <w:rsid w:val="00E47593"/>
    <w:rsid w:val="00E60DAF"/>
    <w:rsid w:val="00E760C5"/>
    <w:rsid w:val="00E80435"/>
    <w:rsid w:val="00E8541E"/>
    <w:rsid w:val="00E922C4"/>
    <w:rsid w:val="00EA58C3"/>
    <w:rsid w:val="00EB00CE"/>
    <w:rsid w:val="00EE2A39"/>
    <w:rsid w:val="00EE2C47"/>
    <w:rsid w:val="00EE6009"/>
    <w:rsid w:val="00EF1BDD"/>
    <w:rsid w:val="00EF335A"/>
    <w:rsid w:val="00F13103"/>
    <w:rsid w:val="00F142C9"/>
    <w:rsid w:val="00F26E88"/>
    <w:rsid w:val="00F57CF8"/>
    <w:rsid w:val="00F65EAA"/>
    <w:rsid w:val="00F67227"/>
    <w:rsid w:val="00F70F02"/>
    <w:rsid w:val="00F91444"/>
    <w:rsid w:val="00FA741D"/>
    <w:rsid w:val="00FB6490"/>
    <w:rsid w:val="00FE6C88"/>
    <w:rsid w:val="23747E23"/>
    <w:rsid w:val="29DF7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3"/>
    <w:uiPriority w:val="0"/>
    <w:pPr>
      <w:shd w:val="clear" w:color="auto" w:fill="000080"/>
    </w:pPr>
  </w:style>
  <w:style w:type="paragraph" w:styleId="3">
    <w:name w:val="annotation text"/>
    <w:basedOn w:val="1"/>
    <w:link w:val="20"/>
    <w:uiPriority w:val="99"/>
    <w:pPr>
      <w:jc w:val="left"/>
    </w:pPr>
  </w:style>
  <w:style w:type="paragraph" w:styleId="4">
    <w:name w:val="Body Text"/>
    <w:basedOn w:val="1"/>
    <w:link w:val="22"/>
    <w:qFormat/>
    <w:uiPriority w:val="0"/>
    <w:pPr>
      <w:jc w:val="center"/>
    </w:pPr>
    <w:rPr>
      <w:rFonts w:eastAsia="黑体"/>
      <w:sz w:val="36"/>
      <w:szCs w:val="20"/>
    </w:rPr>
  </w:style>
  <w:style w:type="paragraph" w:styleId="5">
    <w:name w:val="Plain Text"/>
    <w:basedOn w:val="1"/>
    <w:link w:val="24"/>
    <w:qFormat/>
    <w:uiPriority w:val="0"/>
    <w:rPr>
      <w:rFonts w:ascii="宋体" w:hAnsi="Courier New" w:eastAsiaTheme="minorEastAsia" w:cstheme="minorBidi"/>
    </w:rPr>
  </w:style>
  <w:style w:type="paragraph" w:styleId="6">
    <w:name w:val="Balloon Text"/>
    <w:basedOn w:val="1"/>
    <w:link w:val="21"/>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annotation reference"/>
    <w:basedOn w:val="12"/>
    <w:qFormat/>
    <w:uiPriority w:val="99"/>
    <w:rPr>
      <w:rFonts w:cs="Times New Roman"/>
      <w:sz w:val="21"/>
      <w:szCs w:val="21"/>
    </w:rPr>
  </w:style>
  <w:style w:type="character" w:customStyle="1" w:styleId="15">
    <w:name w:val="页眉 Char"/>
    <w:basedOn w:val="12"/>
    <w:link w:val="8"/>
    <w:qFormat/>
    <w:uiPriority w:val="0"/>
    <w:rPr>
      <w:kern w:val="2"/>
      <w:sz w:val="18"/>
      <w:szCs w:val="18"/>
    </w:rPr>
  </w:style>
  <w:style w:type="character" w:customStyle="1" w:styleId="16">
    <w:name w:val="页脚 Char"/>
    <w:basedOn w:val="12"/>
    <w:link w:val="7"/>
    <w:qFormat/>
    <w:uiPriority w:val="99"/>
    <w:rPr>
      <w:kern w:val="2"/>
      <w:sz w:val="18"/>
      <w:szCs w:val="18"/>
    </w:rPr>
  </w:style>
  <w:style w:type="character" w:customStyle="1" w:styleId="17">
    <w:name w:val="标题 #1_"/>
    <w:basedOn w:val="12"/>
    <w:link w:val="18"/>
    <w:qFormat/>
    <w:locked/>
    <w:uiPriority w:val="99"/>
    <w:rPr>
      <w:rFonts w:ascii="MingLiU" w:eastAsia="MingLiU" w:cs="MingLiU"/>
      <w:spacing w:val="20"/>
      <w:sz w:val="41"/>
      <w:szCs w:val="41"/>
      <w:shd w:val="clear" w:color="auto" w:fill="FFFFFF"/>
    </w:rPr>
  </w:style>
  <w:style w:type="paragraph" w:customStyle="1" w:styleId="18">
    <w:name w:val="标题 #1"/>
    <w:basedOn w:val="1"/>
    <w:link w:val="17"/>
    <w:qFormat/>
    <w:uiPriority w:val="99"/>
    <w:pPr>
      <w:shd w:val="clear" w:color="auto" w:fill="FFFFFF"/>
      <w:spacing w:line="626" w:lineRule="exact"/>
      <w:jc w:val="center"/>
      <w:outlineLvl w:val="0"/>
    </w:pPr>
    <w:rPr>
      <w:rFonts w:ascii="MingLiU" w:eastAsia="MingLiU" w:cs="MingLiU"/>
      <w:spacing w:val="20"/>
      <w:kern w:val="0"/>
      <w:sz w:val="41"/>
      <w:szCs w:val="41"/>
    </w:rPr>
  </w:style>
  <w:style w:type="character" w:customStyle="1" w:styleId="19">
    <w:name w:val="标题 #1 + MS Mincho"/>
    <w:basedOn w:val="17"/>
    <w:qFormat/>
    <w:uiPriority w:val="99"/>
    <w:rPr>
      <w:rFonts w:ascii="MS Mincho" w:eastAsia="MS Mincho" w:cs="MS Mincho"/>
      <w:spacing w:val="0"/>
      <w:sz w:val="44"/>
      <w:szCs w:val="44"/>
      <w:lang w:val="en-US" w:eastAsia="en-US"/>
    </w:rPr>
  </w:style>
  <w:style w:type="character" w:customStyle="1" w:styleId="20">
    <w:name w:val="批注文字 Char"/>
    <w:basedOn w:val="12"/>
    <w:link w:val="3"/>
    <w:uiPriority w:val="99"/>
    <w:rPr>
      <w:kern w:val="2"/>
      <w:sz w:val="21"/>
      <w:szCs w:val="24"/>
    </w:rPr>
  </w:style>
  <w:style w:type="character" w:customStyle="1" w:styleId="21">
    <w:name w:val="批注框文本 Char"/>
    <w:basedOn w:val="12"/>
    <w:link w:val="6"/>
    <w:uiPriority w:val="0"/>
    <w:rPr>
      <w:kern w:val="2"/>
      <w:sz w:val="18"/>
      <w:szCs w:val="18"/>
    </w:rPr>
  </w:style>
  <w:style w:type="character" w:customStyle="1" w:styleId="22">
    <w:name w:val="正文文本 Char"/>
    <w:basedOn w:val="12"/>
    <w:link w:val="4"/>
    <w:uiPriority w:val="0"/>
    <w:rPr>
      <w:rFonts w:eastAsia="黑体"/>
      <w:kern w:val="2"/>
      <w:sz w:val="36"/>
    </w:rPr>
  </w:style>
  <w:style w:type="character" w:customStyle="1" w:styleId="23">
    <w:name w:val="文档结构图 Char"/>
    <w:basedOn w:val="12"/>
    <w:link w:val="2"/>
    <w:uiPriority w:val="0"/>
    <w:rPr>
      <w:kern w:val="2"/>
      <w:sz w:val="21"/>
      <w:szCs w:val="24"/>
      <w:shd w:val="clear" w:color="auto" w:fill="000080"/>
    </w:rPr>
  </w:style>
  <w:style w:type="character" w:customStyle="1" w:styleId="24">
    <w:name w:val="纯文本 Char"/>
    <w:basedOn w:val="12"/>
    <w:link w:val="5"/>
    <w:qFormat/>
    <w:uiPriority w:val="0"/>
    <w:rPr>
      <w:rFonts w:ascii="宋体" w:hAnsi="Courier New"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0B746-1A0C-4911-9A80-3A07180F4B2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1018</Words>
  <Characters>5805</Characters>
  <Lines>48</Lines>
  <Paragraphs>13</Paragraphs>
  <TotalTime>1439</TotalTime>
  <ScaleCrop>false</ScaleCrop>
  <LinksUpToDate>false</LinksUpToDate>
  <CharactersWithSpaces>6810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2019-03-23T08:50:00Z</dcterms:created>
  <dc:creator>AutoBVT</dc:creator>
  <cp:lastModifiedBy>权添良</cp:lastModifiedBy>
  <cp:lastPrinted>2019-03-18T01:59:00Z</cp:lastPrinted>
  <dcterms:modified xsi:type="dcterms:W3CDTF">2021-12-08T03:00:06Z</dcterms:modified>
  <dc:title>目　录</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