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p>
    <w:p>
      <w:pPr>
        <w:jc w:val="center"/>
        <w:rPr>
          <w:rFonts w:hint="eastAsia" w:ascii="黑体" w:hAnsi="黑体" w:eastAsia="黑体"/>
          <w:bCs/>
          <w:sz w:val="44"/>
          <w:szCs w:val="44"/>
        </w:rPr>
      </w:pPr>
      <w:r>
        <w:rPr>
          <w:rFonts w:hint="eastAsia" w:ascii="黑体" w:hAnsi="黑体" w:eastAsia="黑体"/>
          <w:bCs/>
          <w:sz w:val="44"/>
          <w:szCs w:val="44"/>
        </w:rPr>
        <w:t>共青团寿县委员会2019年部门预算公开</w:t>
      </w:r>
    </w:p>
    <w:p>
      <w:pPr>
        <w:jc w:val="center"/>
        <w:rPr>
          <w:sz w:val="52"/>
          <w:szCs w:val="52"/>
        </w:rPr>
      </w:pPr>
    </w:p>
    <w:p>
      <w:pPr>
        <w:jc w:val="center"/>
        <w:rPr>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rPr>
          <w:sz w:val="52"/>
          <w:szCs w:val="52"/>
        </w:rPr>
      </w:pPr>
    </w:p>
    <w:p>
      <w:pPr>
        <w:jc w:val="center"/>
        <w:rPr>
          <w:rFonts w:ascii="宋体"/>
          <w:b/>
          <w:sz w:val="48"/>
          <w:szCs w:val="48"/>
        </w:rPr>
      </w:pPr>
      <w:r>
        <w:rPr>
          <w:rFonts w:ascii="宋体" w:hAnsi="宋体"/>
          <w:b/>
          <w:sz w:val="48"/>
          <w:szCs w:val="48"/>
        </w:rPr>
        <w:t xml:space="preserve">2019 </w:t>
      </w:r>
      <w:r>
        <w:rPr>
          <w:rFonts w:hint="eastAsia" w:ascii="宋体" w:hAnsi="宋体"/>
          <w:b/>
          <w:sz w:val="48"/>
          <w:szCs w:val="48"/>
        </w:rPr>
        <w:t>年</w:t>
      </w:r>
      <w:r>
        <w:rPr>
          <w:rFonts w:ascii="宋体" w:hAnsi="宋体"/>
          <w:b/>
          <w:sz w:val="48"/>
          <w:szCs w:val="48"/>
        </w:rPr>
        <w:t xml:space="preserve"> </w:t>
      </w:r>
      <w:r>
        <w:rPr>
          <w:rFonts w:hint="eastAsia" w:ascii="宋体" w:hAnsi="宋体"/>
          <w:b/>
          <w:sz w:val="48"/>
          <w:szCs w:val="48"/>
          <w:lang w:val="en-US" w:eastAsia="zh-CN"/>
        </w:rPr>
        <w:t>3</w:t>
      </w:r>
      <w:r>
        <w:rPr>
          <w:rFonts w:ascii="宋体" w:hAnsi="宋体"/>
          <w:b/>
          <w:sz w:val="48"/>
          <w:szCs w:val="48"/>
        </w:rPr>
        <w:t xml:space="preserve"> </w:t>
      </w:r>
      <w:r>
        <w:rPr>
          <w:rFonts w:hint="eastAsia" w:ascii="宋体" w:hAnsi="宋体"/>
          <w:b/>
          <w:sz w:val="48"/>
          <w:szCs w:val="48"/>
        </w:rPr>
        <w:t>月</w:t>
      </w:r>
    </w:p>
    <w:p>
      <w:pPr>
        <w:jc w:val="center"/>
        <w:rPr>
          <w:sz w:val="52"/>
          <w:szCs w:val="52"/>
        </w:rPr>
      </w:pPr>
    </w:p>
    <w:p>
      <w:pPr>
        <w:rPr>
          <w:sz w:val="52"/>
          <w:szCs w:val="52"/>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adjustRightInd w:val="0"/>
        <w:snapToGrid w:val="0"/>
        <w:spacing w:before="0" w:beforeAutospacing="0" w:after="0" w:afterAutospacing="0" w:line="500" w:lineRule="exact"/>
        <w:jc w:val="center"/>
        <w:rPr>
          <w:rFonts w:hint="eastAsia" w:ascii="黑体" w:hAnsi="黑体" w:eastAsia="黑体"/>
          <w:bCs/>
          <w:sz w:val="44"/>
          <w:szCs w:val="44"/>
        </w:rPr>
      </w:pPr>
    </w:p>
    <w:p>
      <w:pPr>
        <w:pStyle w:val="10"/>
        <w:widowControl w:val="0"/>
        <w:shd w:val="clear" w:color="auto" w:fill="FFFFFF"/>
        <w:spacing w:before="0" w:beforeAutospacing="0" w:after="0" w:afterAutospacing="0" w:line="560" w:lineRule="exact"/>
        <w:jc w:val="center"/>
        <w:rPr>
          <w:rFonts w:hint="eastAsia"/>
          <w:color w:val="000000"/>
          <w:sz w:val="44"/>
          <w:szCs w:val="44"/>
        </w:rPr>
      </w:pPr>
    </w:p>
    <w:p>
      <w:pPr>
        <w:pStyle w:val="10"/>
        <w:widowControl w:val="0"/>
        <w:shd w:val="clear" w:color="auto" w:fill="FFFFFF"/>
        <w:spacing w:before="0" w:beforeAutospacing="0" w:after="0" w:afterAutospacing="0" w:line="560" w:lineRule="exact"/>
        <w:jc w:val="center"/>
        <w:rPr>
          <w:rFonts w:hint="eastAsia"/>
          <w:color w:val="000000"/>
          <w:sz w:val="44"/>
          <w:szCs w:val="44"/>
        </w:rPr>
      </w:pPr>
    </w:p>
    <w:p>
      <w:pPr>
        <w:pStyle w:val="10"/>
        <w:widowControl w:val="0"/>
        <w:shd w:val="clear" w:color="auto" w:fill="FFFFFF"/>
        <w:spacing w:before="0" w:beforeAutospacing="0" w:after="0" w:afterAutospacing="0" w:line="560" w:lineRule="exact"/>
        <w:jc w:val="center"/>
        <w:rPr>
          <w:color w:val="000000"/>
          <w:sz w:val="44"/>
          <w:szCs w:val="44"/>
        </w:rPr>
      </w:pPr>
      <w:r>
        <w:rPr>
          <w:rFonts w:hint="eastAsia"/>
          <w:color w:val="000000"/>
          <w:sz w:val="44"/>
          <w:szCs w:val="44"/>
        </w:rPr>
        <w:t>共青团寿县委员会</w:t>
      </w:r>
      <w:r>
        <w:rPr>
          <w:rFonts w:ascii="方正小标宋_GBK" w:eastAsia="方正小标宋_GBK" w:cs="方正小标宋_GBK"/>
          <w:color w:val="000000"/>
          <w:sz w:val="44"/>
          <w:szCs w:val="44"/>
        </w:rPr>
        <w:t>201</w:t>
      </w:r>
      <w:r>
        <w:rPr>
          <w:rFonts w:hint="eastAsia" w:ascii="方正小标宋_GBK" w:eastAsia="方正小标宋_GBK" w:cs="方正小标宋_GBK"/>
          <w:color w:val="000000"/>
          <w:sz w:val="44"/>
          <w:szCs w:val="44"/>
        </w:rPr>
        <w:t>9</w:t>
      </w:r>
      <w:r>
        <w:rPr>
          <w:rFonts w:hint="eastAsia"/>
          <w:color w:val="000000"/>
          <w:sz w:val="44"/>
          <w:szCs w:val="44"/>
        </w:rPr>
        <w:t>年部门预算</w:t>
      </w:r>
      <w:r>
        <w:rPr>
          <w:rFonts w:hint="eastAsia" w:ascii="方正小标宋_GBK" w:eastAsia="方正小标宋_GBK" w:cs="方正小标宋_GBK"/>
          <w:color w:val="000000"/>
          <w:sz w:val="44"/>
          <w:szCs w:val="44"/>
        </w:rPr>
        <w:t>公</w:t>
      </w:r>
      <w:r>
        <w:rPr>
          <w:rFonts w:hint="eastAsia"/>
          <w:color w:val="000000"/>
          <w:sz w:val="44"/>
          <w:szCs w:val="44"/>
        </w:rPr>
        <w:t>开</w:t>
      </w:r>
    </w:p>
    <w:p>
      <w:pPr>
        <w:pStyle w:val="10"/>
        <w:widowControl w:val="0"/>
        <w:shd w:val="clear" w:color="auto" w:fill="FFFFFF"/>
        <w:spacing w:before="0" w:beforeAutospacing="0" w:after="0" w:afterAutospacing="0" w:line="560" w:lineRule="exact"/>
        <w:jc w:val="center"/>
        <w:rPr>
          <w:color w:val="000000"/>
          <w:sz w:val="44"/>
          <w:szCs w:val="44"/>
        </w:rPr>
      </w:pPr>
    </w:p>
    <w:p>
      <w:pPr>
        <w:pStyle w:val="10"/>
        <w:adjustRightInd w:val="0"/>
        <w:snapToGrid w:val="0"/>
        <w:spacing w:before="0" w:beforeAutospacing="0" w:after="0" w:afterAutospacing="0" w:line="440" w:lineRule="exact"/>
        <w:jc w:val="center"/>
        <w:rPr>
          <w:rFonts w:ascii="黑体" w:hAnsi="黑体" w:eastAsia="黑体"/>
          <w:bCs/>
          <w:sz w:val="44"/>
          <w:szCs w:val="44"/>
        </w:rPr>
      </w:pPr>
      <w:r>
        <w:rPr>
          <w:rFonts w:hint="eastAsia" w:ascii="黑体" w:hAnsi="黑体" w:eastAsia="黑体"/>
          <w:bCs/>
          <w:sz w:val="44"/>
          <w:szCs w:val="44"/>
        </w:rPr>
        <w:t>目　录</w:t>
      </w:r>
    </w:p>
    <w:p>
      <w:pPr>
        <w:pStyle w:val="10"/>
        <w:adjustRightInd w:val="0"/>
        <w:snapToGrid w:val="0"/>
        <w:spacing w:before="0" w:beforeAutospacing="0" w:after="0" w:afterAutospacing="0" w:line="440" w:lineRule="exact"/>
        <w:ind w:firstLine="643" w:firstLineChars="200"/>
        <w:jc w:val="both"/>
        <w:rPr>
          <w:rFonts w:ascii="仿宋_GB2312" w:hAnsi="仿宋" w:eastAsia="仿宋_GB2312" w:cs="仿宋"/>
          <w:b/>
          <w:sz w:val="32"/>
          <w:szCs w:val="32"/>
        </w:rPr>
      </w:pPr>
    </w:p>
    <w:p>
      <w:pPr>
        <w:pStyle w:val="10"/>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第一部分 部门概况</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3.2019年度主要工作任务</w:t>
      </w:r>
    </w:p>
    <w:p>
      <w:pPr>
        <w:pStyle w:val="10"/>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第二部分 2019年部门预算表</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1.2019年部门财政拨款收支预算总表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2.2019年部门一般公共预算支出表</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3.2019年部门一般公共预算基本支出预算表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4.2019年部门政府性基金预算支出表</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5.2019年部门国有资本经营预算支出表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6.2019年部门收支预算总表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7.2019年部门收入预算总表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8.2019年部门支出预算总表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9.2019年部门政府采购支出表</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10.2019年县级部门专项资金清单</w:t>
      </w:r>
    </w:p>
    <w:p>
      <w:pPr>
        <w:spacing w:line="440" w:lineRule="exact"/>
        <w:ind w:firstLine="200"/>
        <w:jc w:val="left"/>
        <w:rPr>
          <w:rFonts w:ascii="仿宋_GB2312" w:hAnsi="仿宋" w:eastAsia="仿宋_GB2312" w:cs="仿宋"/>
          <w:bCs/>
          <w:kern w:val="0"/>
          <w:sz w:val="32"/>
          <w:szCs w:val="32"/>
        </w:rPr>
      </w:pPr>
      <w:r>
        <w:rPr>
          <w:rFonts w:hint="eastAsia" w:ascii="仿宋_GB2312" w:hAnsi="仿宋" w:eastAsia="仿宋_GB2312" w:cs="仿宋"/>
          <w:bCs/>
          <w:sz w:val="32"/>
          <w:szCs w:val="32"/>
        </w:rPr>
        <w:t xml:space="preserve">   11.</w:t>
      </w:r>
      <w:r>
        <w:rPr>
          <w:rFonts w:hint="eastAsia" w:ascii="仿宋_GB2312" w:hAnsi="仿宋" w:eastAsia="仿宋_GB2312" w:cs="仿宋"/>
          <w:bCs/>
          <w:kern w:val="0"/>
          <w:sz w:val="32"/>
          <w:szCs w:val="32"/>
        </w:rPr>
        <w:t xml:space="preserve"> 2019年“三公”经费支出预算表</w:t>
      </w:r>
    </w:p>
    <w:p>
      <w:pPr>
        <w:pStyle w:val="10"/>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第三部分 2019年部门预算情况说明</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1.关于2019年财政拨款收支预算总体情况说明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2.关于2019年一般公共预算财政拨款情况说明</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3.关于2019年一般公共预算基本支出情况说明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4.关于2019年政府性基金预算拨款情况说明</w:t>
      </w:r>
    </w:p>
    <w:p>
      <w:pPr>
        <w:pStyle w:val="10"/>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5.关于2019年国有资本经营预算拨款情况说明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6.关于2019年收支预算总体情况说明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7.关于2019年收入预算情况说明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8.关于2019年支出预算情况说明</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 xml:space="preserve">9.关于2019年“三公”经费财政拨款预算情况说明 </w:t>
      </w:r>
    </w:p>
    <w:p>
      <w:pPr>
        <w:pStyle w:val="10"/>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10.其他重要事项情况说明</w:t>
      </w:r>
    </w:p>
    <w:p>
      <w:pPr>
        <w:pStyle w:val="10"/>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第四部分 名词解释</w:t>
      </w:r>
    </w:p>
    <w:p>
      <w:pPr>
        <w:pStyle w:val="10"/>
        <w:adjustRightInd w:val="0"/>
        <w:snapToGrid w:val="0"/>
        <w:spacing w:before="0" w:beforeAutospacing="0" w:after="0" w:afterAutospacing="0" w:line="600" w:lineRule="exact"/>
        <w:jc w:val="center"/>
        <w:rPr>
          <w:bCs/>
          <w:sz w:val="44"/>
          <w:szCs w:val="44"/>
        </w:rPr>
      </w:pPr>
    </w:p>
    <w:p>
      <w:pPr>
        <w:pStyle w:val="10"/>
        <w:adjustRightInd w:val="0"/>
        <w:snapToGrid w:val="0"/>
        <w:spacing w:before="0" w:beforeAutospacing="0" w:after="0" w:afterAutospacing="0" w:line="600" w:lineRule="exact"/>
        <w:jc w:val="center"/>
        <w:rPr>
          <w:rFonts w:ascii="方正小标宋_GBK" w:hAnsi="黑体" w:eastAsia="方正小标宋_GBK"/>
          <w:bCs/>
          <w:sz w:val="44"/>
          <w:szCs w:val="44"/>
        </w:rPr>
      </w:pPr>
      <w:r>
        <w:rPr>
          <w:rFonts w:hint="eastAsia"/>
          <w:bCs/>
          <w:sz w:val="44"/>
          <w:szCs w:val="44"/>
        </w:rPr>
        <w:t>第一部分</w:t>
      </w:r>
      <w:r>
        <w:rPr>
          <w:rFonts w:hint="eastAsia" w:ascii="方正小标宋_GBK" w:hAnsi="黑体" w:eastAsia="方正小标宋_GBK"/>
          <w:bCs/>
          <w:sz w:val="44"/>
          <w:szCs w:val="44"/>
        </w:rPr>
        <w:t xml:space="preserve"> </w:t>
      </w:r>
      <w:r>
        <w:rPr>
          <w:rFonts w:hint="eastAsia"/>
          <w:bCs/>
          <w:sz w:val="44"/>
          <w:szCs w:val="44"/>
        </w:rPr>
        <w:t>部门概况</w:t>
      </w:r>
    </w:p>
    <w:p>
      <w:pPr>
        <w:pStyle w:val="10"/>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一、主要职责</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组织实施县委、县政府和上级团委部署的以青少年工作为主题的各项任务；负责全县团的组织建设；做好青少年权益保护工作；研究青年运动、青少年工作理论和思想教育；培养农村青年带头人；树立青年标兵；建立完善基层团的工作评价机制；加强团干部的协管工作。</w:t>
      </w:r>
    </w:p>
    <w:p>
      <w:pPr>
        <w:pStyle w:val="10"/>
        <w:widowControl w:val="0"/>
        <w:shd w:val="clear" w:color="auto" w:fill="FFFFFF"/>
        <w:spacing w:before="0" w:beforeAutospacing="0" w:after="0" w:afterAutospacing="0" w:line="640" w:lineRule="exact"/>
        <w:ind w:firstLine="643" w:firstLineChars="200"/>
        <w:rPr>
          <w:rFonts w:ascii="楷体_GB2312" w:eastAsia="楷体_GB2312" w:cs="Times New Roman"/>
          <w:b/>
          <w:bCs/>
          <w:color w:val="000000"/>
          <w:sz w:val="32"/>
          <w:szCs w:val="32"/>
        </w:rPr>
      </w:pPr>
      <w:r>
        <w:rPr>
          <w:rFonts w:hint="eastAsia" w:ascii="楷体_GB2312" w:eastAsia="楷体_GB2312" w:cs="楷体_GB2312"/>
          <w:b/>
          <w:bCs/>
          <w:color w:val="000000"/>
          <w:sz w:val="32"/>
          <w:szCs w:val="32"/>
        </w:rPr>
        <w:t>（二）部门预算单位构成</w:t>
      </w:r>
    </w:p>
    <w:p>
      <w:pPr>
        <w:pStyle w:val="10"/>
        <w:widowControl w:val="0"/>
        <w:shd w:val="clear" w:color="auto" w:fill="FFFFFF"/>
        <w:spacing w:before="0" w:beforeAutospacing="0" w:after="0" w:afterAutospacing="0" w:line="640" w:lineRule="exact"/>
        <w:ind w:firstLine="640" w:firstLineChars="200"/>
        <w:rPr>
          <w:rFonts w:ascii="仿宋_GB2312" w:eastAsia="仿宋_GB2312" w:cs="Times New Roman"/>
          <w:color w:val="000000"/>
          <w:sz w:val="30"/>
          <w:szCs w:val="30"/>
        </w:rPr>
      </w:pPr>
      <w:r>
        <w:rPr>
          <w:rFonts w:hint="eastAsia" w:ascii="仿宋_GB2312" w:hAnsi="华文仿宋" w:eastAsia="仿宋_GB2312" w:cs="仿宋_GB2312"/>
          <w:color w:val="000000"/>
          <w:sz w:val="32"/>
          <w:szCs w:val="32"/>
        </w:rPr>
        <w:t>从预算单位构成看，共青团寿县委员会</w:t>
      </w:r>
      <w:r>
        <w:rPr>
          <w:rFonts w:ascii="仿宋_GB2312" w:hAnsi="华文仿宋" w:eastAsia="仿宋_GB2312" w:cs="仿宋_GB2312"/>
          <w:color w:val="000000"/>
          <w:sz w:val="32"/>
          <w:szCs w:val="32"/>
        </w:rPr>
        <w:t>201</w:t>
      </w:r>
      <w:r>
        <w:rPr>
          <w:rFonts w:hint="eastAsia" w:ascii="仿宋_GB2312" w:hAnsi="华文仿宋" w:eastAsia="仿宋_GB2312" w:cs="仿宋_GB2312"/>
          <w:color w:val="000000"/>
          <w:sz w:val="32"/>
          <w:szCs w:val="32"/>
        </w:rPr>
        <w:t>9年度部门预算为本级预算。</w:t>
      </w:r>
      <w:r>
        <w:rPr>
          <w:rFonts w:hint="eastAsia" w:ascii="仿宋_GB2312" w:hAnsi="黑体" w:eastAsia="仿宋_GB2312"/>
          <w:bCs/>
          <w:sz w:val="32"/>
          <w:szCs w:val="32"/>
        </w:rPr>
        <w:t>具体情况见下表。</w:t>
      </w:r>
    </w:p>
    <w:tbl>
      <w:tblPr>
        <w:tblStyle w:val="12"/>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77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黑体" w:hAnsi="黑体" w:eastAsia="黑体"/>
                <w:sz w:val="28"/>
                <w:szCs w:val="28"/>
              </w:rPr>
            </w:pPr>
            <w:r>
              <w:rPr>
                <w:rFonts w:hint="eastAsia" w:ascii="黑体" w:hAnsi="黑体" w:eastAsia="黑体"/>
                <w:sz w:val="28"/>
                <w:szCs w:val="28"/>
              </w:rPr>
              <w:t>序号</w:t>
            </w:r>
          </w:p>
        </w:tc>
        <w:tc>
          <w:tcPr>
            <w:tcW w:w="4775" w:type="dxa"/>
            <w:vAlign w:val="center"/>
          </w:tcPr>
          <w:p>
            <w:pPr>
              <w:pStyle w:val="5"/>
              <w:ind w:firstLine="560"/>
              <w:jc w:val="center"/>
              <w:rPr>
                <w:rFonts w:ascii="黑体" w:hAnsi="黑体" w:eastAsia="黑体"/>
                <w:sz w:val="28"/>
                <w:szCs w:val="28"/>
              </w:rPr>
            </w:pPr>
            <w:r>
              <w:rPr>
                <w:rFonts w:hint="eastAsia" w:ascii="黑体" w:hAnsi="黑体" w:eastAsia="黑体"/>
                <w:sz w:val="28"/>
                <w:szCs w:val="28"/>
              </w:rPr>
              <w:t>单位名称</w:t>
            </w:r>
          </w:p>
        </w:tc>
        <w:tc>
          <w:tcPr>
            <w:tcW w:w="3032" w:type="dxa"/>
            <w:vAlign w:val="center"/>
          </w:tcPr>
          <w:p>
            <w:pPr>
              <w:pStyle w:val="5"/>
              <w:ind w:firstLine="560"/>
              <w:jc w:val="center"/>
              <w:rPr>
                <w:rFonts w:ascii="黑体" w:hAnsi="黑体" w:eastAsia="黑体"/>
                <w:sz w:val="28"/>
                <w:szCs w:val="28"/>
              </w:rPr>
            </w:pPr>
            <w:r>
              <w:rPr>
                <w:rFonts w:hint="eastAsia" w:ascii="黑体" w:hAnsi="黑体" w:eastAsia="黑体"/>
                <w:sz w:val="28"/>
                <w:szCs w:val="28"/>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仿宋_GB2312" w:eastAsia="仿宋_GB2312"/>
                <w:sz w:val="28"/>
                <w:szCs w:val="28"/>
              </w:rPr>
            </w:pPr>
            <w:r>
              <w:rPr>
                <w:rFonts w:hint="eastAsia" w:ascii="仿宋_GB2312" w:eastAsia="仿宋_GB2312"/>
                <w:sz w:val="28"/>
                <w:szCs w:val="28"/>
              </w:rPr>
              <w:t>1</w:t>
            </w:r>
          </w:p>
        </w:tc>
        <w:tc>
          <w:tcPr>
            <w:tcW w:w="4775" w:type="dxa"/>
            <w:vAlign w:val="center"/>
          </w:tcPr>
          <w:p>
            <w:pPr>
              <w:pStyle w:val="5"/>
              <w:ind w:firstLine="560"/>
              <w:jc w:val="center"/>
              <w:rPr>
                <w:rFonts w:ascii="仿宋_GB2312" w:eastAsia="仿宋_GB2312"/>
                <w:sz w:val="28"/>
                <w:szCs w:val="28"/>
              </w:rPr>
            </w:pPr>
            <w:r>
              <w:rPr>
                <w:rFonts w:hint="eastAsia" w:ascii="仿宋_GB2312" w:eastAsia="仿宋_GB2312"/>
                <w:sz w:val="28"/>
                <w:szCs w:val="28"/>
              </w:rPr>
              <w:t>共青团寿县委员会</w:t>
            </w:r>
          </w:p>
        </w:tc>
        <w:tc>
          <w:tcPr>
            <w:tcW w:w="3032" w:type="dxa"/>
            <w:vAlign w:val="center"/>
          </w:tcPr>
          <w:p>
            <w:pPr>
              <w:pStyle w:val="5"/>
              <w:ind w:firstLine="560"/>
              <w:jc w:val="center"/>
              <w:rPr>
                <w:rFonts w:ascii="仿宋_GB2312" w:eastAsia="仿宋_GB2312"/>
                <w:sz w:val="28"/>
                <w:szCs w:val="28"/>
              </w:rPr>
            </w:pPr>
            <w:r>
              <w:rPr>
                <w:rFonts w:hint="eastAsia" w:ascii="仿宋_GB2312" w:eastAsia="仿宋_GB2312"/>
                <w:sz w:val="28"/>
                <w:szCs w:val="28"/>
              </w:rPr>
              <w:t>行政单位</w:t>
            </w:r>
          </w:p>
        </w:tc>
      </w:tr>
    </w:tbl>
    <w:p>
      <w:pPr>
        <w:pStyle w:val="10"/>
        <w:adjustRightInd w:val="0"/>
        <w:snapToGrid w:val="0"/>
        <w:spacing w:before="0" w:beforeAutospacing="0" w:after="0" w:afterAutospacing="0" w:line="600" w:lineRule="exact"/>
        <w:rPr>
          <w:rFonts w:ascii="仿宋_GB2312" w:hAnsi="黑体" w:eastAsia="仿宋_GB2312"/>
          <w:bCs/>
          <w:sz w:val="32"/>
          <w:szCs w:val="32"/>
        </w:rPr>
      </w:pPr>
    </w:p>
    <w:p>
      <w:pPr>
        <w:pStyle w:val="10"/>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三、2019年度主要工作任务</w:t>
      </w:r>
    </w:p>
    <w:p>
      <w:pPr>
        <w:pStyle w:val="10"/>
        <w:adjustRightInd w:val="0"/>
        <w:snapToGrid w:val="0"/>
        <w:spacing w:before="0" w:beforeAutospacing="0" w:after="0" w:afterAutospacing="0" w:line="60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2019年，团县委将在县委和团市委的坚强领导下，以习近平新时代中国特色社会主义思想为指导，深入贯彻党的十九大和十九届二中、三中全会精神，认真学习宣传贯彻习近平总书记“7.2”重要讲话精神和团的十八大精神，紧紧围绕强“三性”、去“四化”这条主线和解“四缺”这个难题，着力深化改革攻坚、全面从严治团，团结带领全县广大团员青年在全面建成小康社会、建设现代化五大发展美好寿县中充分发挥生力军和突击队作用。</w:t>
      </w:r>
    </w:p>
    <w:p>
      <w:pPr>
        <w:pStyle w:val="10"/>
        <w:adjustRightInd w:val="0"/>
        <w:snapToGrid w:val="0"/>
        <w:spacing w:before="0" w:beforeAutospacing="0" w:after="0" w:afterAutospacing="0" w:line="600" w:lineRule="exact"/>
        <w:rPr>
          <w:rFonts w:ascii="仿宋_GB2312" w:hAnsi="黑体" w:eastAsia="仿宋_GB2312"/>
          <w:bCs/>
          <w:sz w:val="32"/>
          <w:szCs w:val="32"/>
        </w:rPr>
      </w:pPr>
    </w:p>
    <w:p>
      <w:pPr>
        <w:pStyle w:val="10"/>
        <w:adjustRightInd w:val="0"/>
        <w:snapToGrid w:val="0"/>
        <w:spacing w:before="0" w:beforeAutospacing="0" w:after="0" w:afterAutospacing="0" w:line="600" w:lineRule="exact"/>
        <w:ind w:firstLine="880" w:firstLineChars="200"/>
        <w:rPr>
          <w:rFonts w:ascii="仿宋_GB2312" w:hAnsi="黑体" w:eastAsia="仿宋_GB2312"/>
          <w:bCs/>
          <w:sz w:val="32"/>
          <w:szCs w:val="32"/>
        </w:rPr>
      </w:pPr>
      <w:r>
        <w:rPr>
          <w:rFonts w:hint="eastAsia"/>
          <w:bCs/>
          <w:sz w:val="44"/>
          <w:szCs w:val="44"/>
        </w:rPr>
        <w:t>第二部分</w:t>
      </w:r>
      <w:r>
        <w:rPr>
          <w:rFonts w:hint="eastAsia" w:ascii="方正小标宋_GBK" w:hAnsi="黑体" w:eastAsia="方正小标宋_GBK"/>
          <w:bCs/>
          <w:sz w:val="44"/>
          <w:szCs w:val="44"/>
        </w:rPr>
        <w:t xml:space="preserve"> 2019</w:t>
      </w:r>
      <w:r>
        <w:rPr>
          <w:rFonts w:hint="eastAsia"/>
          <w:bCs/>
          <w:sz w:val="44"/>
          <w:szCs w:val="44"/>
        </w:rPr>
        <w:t>年部门预算表（附后）</w:t>
      </w:r>
    </w:p>
    <w:p>
      <w:pPr>
        <w:pStyle w:val="10"/>
        <w:adjustRightInd w:val="0"/>
        <w:snapToGrid w:val="0"/>
        <w:spacing w:before="0" w:beforeAutospacing="0" w:after="0" w:afterAutospacing="0"/>
        <w:jc w:val="center"/>
        <w:rPr>
          <w:szCs w:val="44"/>
        </w:rPr>
      </w:pPr>
    </w:p>
    <w:p>
      <w:pPr>
        <w:pStyle w:val="10"/>
        <w:widowControl w:val="0"/>
        <w:shd w:val="clear" w:color="auto" w:fill="FFFFFF"/>
        <w:spacing w:before="0" w:beforeAutospacing="0" w:after="0" w:afterAutospacing="0" w:line="560" w:lineRule="exact"/>
        <w:jc w:val="center"/>
        <w:rPr>
          <w:rFonts w:ascii="仿宋_GB2312" w:eastAsia="仿宋_GB2312" w:cs="Times New Roman"/>
          <w:color w:val="000000"/>
          <w:sz w:val="30"/>
          <w:szCs w:val="30"/>
        </w:rPr>
      </w:pPr>
      <w:r>
        <w:rPr>
          <w:rFonts w:hint="eastAsia" w:ascii="仿宋_GB2312" w:eastAsia="仿宋_GB2312" w:cs="Times New Roman"/>
          <w:color w:val="000000"/>
          <w:sz w:val="30"/>
          <w:szCs w:val="30"/>
        </w:rPr>
        <w:t>详见公开附表</w:t>
      </w:r>
    </w:p>
    <w:p>
      <w:pPr>
        <w:pStyle w:val="10"/>
        <w:adjustRightInd w:val="0"/>
        <w:snapToGrid w:val="0"/>
        <w:spacing w:before="0" w:beforeAutospacing="0" w:after="0" w:afterAutospacing="0"/>
        <w:jc w:val="center"/>
        <w:rPr>
          <w:rFonts w:ascii="方正小标宋_GBK" w:hAnsi="黑体" w:eastAsia="方正小标宋_GBK"/>
          <w:bCs/>
          <w:sz w:val="44"/>
          <w:szCs w:val="44"/>
        </w:rPr>
      </w:pPr>
      <w:r>
        <w:rPr>
          <w:rFonts w:hint="eastAsia"/>
          <w:bCs/>
          <w:sz w:val="44"/>
          <w:szCs w:val="44"/>
        </w:rPr>
        <w:t>第三部分</w:t>
      </w:r>
      <w:r>
        <w:rPr>
          <w:rFonts w:hint="eastAsia" w:ascii="方正小标宋_GBK" w:hAnsi="黑体" w:eastAsia="方正小标宋_GBK"/>
          <w:bCs/>
          <w:sz w:val="44"/>
          <w:szCs w:val="44"/>
        </w:rPr>
        <w:t xml:space="preserve"> 2019</w:t>
      </w:r>
      <w:r>
        <w:rPr>
          <w:rFonts w:hint="eastAsia"/>
          <w:bCs/>
          <w:sz w:val="44"/>
          <w:szCs w:val="44"/>
        </w:rPr>
        <w:t>年部门预算情况说明</w:t>
      </w:r>
    </w:p>
    <w:p>
      <w:pPr>
        <w:pStyle w:val="10"/>
        <w:widowControl w:val="0"/>
        <w:adjustRightInd w:val="0"/>
        <w:snapToGrid w:val="0"/>
        <w:spacing w:before="0" w:beforeAutospacing="0" w:after="0" w:afterAutospacing="0" w:line="600" w:lineRule="exact"/>
        <w:ind w:firstLine="640" w:firstLineChars="200"/>
        <w:rPr>
          <w:rFonts w:ascii="黑体" w:hAnsi="黑体" w:eastAsia="黑体"/>
          <w:bCs/>
          <w:sz w:val="32"/>
          <w:szCs w:val="32"/>
        </w:rPr>
      </w:pPr>
    </w:p>
    <w:p>
      <w:pPr>
        <w:pStyle w:val="10"/>
        <w:widowControl w:val="0"/>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一、关于2019年财政拨款收支预算总体情况说明</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共青团寿县委员会2019年财政拨款收支预算58.12万元。收入按资金来源全部为一般公共预算拨款；按资金年度全部为当年财政拨款收入。支出按功能分类分为：一般公共服务支出48.12万元，占82.79%，卫生健康支出1.5万元，占2.58%；住房保障支出2.74万元，占4.71%。</w:t>
      </w:r>
    </w:p>
    <w:p>
      <w:pPr>
        <w:pStyle w:val="10"/>
        <w:widowControl w:val="0"/>
        <w:adjustRightInd w:val="0"/>
        <w:snapToGrid w:val="0"/>
        <w:spacing w:before="0" w:beforeAutospacing="0" w:after="0" w:afterAutospacing="0" w:line="600" w:lineRule="exact"/>
        <w:ind w:firstLine="640" w:firstLineChars="200"/>
        <w:rPr>
          <w:rFonts w:ascii="黑体" w:hAnsi="仿宋" w:eastAsia="黑体" w:cs="Times New Roman"/>
          <w:kern w:val="2"/>
          <w:sz w:val="32"/>
          <w:szCs w:val="32"/>
        </w:rPr>
      </w:pPr>
      <w:r>
        <w:rPr>
          <w:rFonts w:hint="eastAsia" w:ascii="黑体" w:hAnsi="仿宋" w:eastAsia="黑体" w:cs="Times New Roman"/>
          <w:kern w:val="2"/>
          <w:sz w:val="32"/>
          <w:szCs w:val="32"/>
        </w:rPr>
        <w:t>二、关于2019年一般公共预算拨款情况说明</w:t>
      </w:r>
    </w:p>
    <w:p>
      <w:pPr>
        <w:pStyle w:val="10"/>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 xml:space="preserve">（一）一般公共预算拨款规模变化情况 </w:t>
      </w:r>
    </w:p>
    <w:p>
      <w:pPr>
        <w:pStyle w:val="10"/>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共青团寿县委员会2019年一般公共预算拨款58.12万元，比2018年预算拨款增加9.37万元，增长16.1%，</w:t>
      </w:r>
      <w:r>
        <w:rPr>
          <w:rFonts w:hint="eastAsia" w:ascii="仿宋_GB2312" w:hAnsi="仿宋" w:eastAsia="仿宋_GB2312"/>
          <w:sz w:val="32"/>
          <w:szCs w:val="32"/>
        </w:rPr>
        <w:t>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pStyle w:val="10"/>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 xml:space="preserve">一般公共预算拨款结构情况 </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一般公共服务支出48.12万元，占82.79%，卫生健康支出1.5万元，占2.58%；住房保障支出2.74万元，占4.71%。</w:t>
      </w:r>
    </w:p>
    <w:p>
      <w:pPr>
        <w:adjustRightInd w:val="0"/>
        <w:snapToGrid w:val="0"/>
        <w:spacing w:line="600" w:lineRule="exact"/>
        <w:ind w:firstLine="643" w:firstLineChars="200"/>
        <w:jc w:val="left"/>
        <w:rPr>
          <w:rFonts w:ascii="楷体_GB2312" w:hAnsi="仿宋" w:eastAsia="楷体_GB2312"/>
          <w:b/>
          <w:sz w:val="32"/>
          <w:szCs w:val="32"/>
        </w:rPr>
      </w:pPr>
      <w:r>
        <w:rPr>
          <w:rFonts w:hint="eastAsia" w:ascii="楷体_GB2312" w:hAnsi="仿宋" w:eastAsia="楷体_GB2312"/>
          <w:b/>
          <w:sz w:val="32"/>
          <w:szCs w:val="32"/>
        </w:rPr>
        <w:t xml:space="preserve">（三）一般公共预算拨款具体使用情况 </w:t>
      </w:r>
    </w:p>
    <w:p>
      <w:pPr>
        <w:pStyle w:val="10"/>
        <w:widowControl w:val="0"/>
        <w:adjustRightInd w:val="0"/>
        <w:snapToGrid w:val="0"/>
        <w:spacing w:before="0" w:beforeAutospacing="0" w:after="0" w:afterAutospacing="0" w:line="600" w:lineRule="exact"/>
        <w:ind w:firstLine="630" w:firstLineChars="196"/>
        <w:rPr>
          <w:rFonts w:ascii="仿宋_GB2312" w:hAnsi="仿宋" w:eastAsia="仿宋_GB2312" w:cs="Times New Roman"/>
          <w:kern w:val="2"/>
          <w:sz w:val="32"/>
          <w:szCs w:val="32"/>
        </w:rPr>
      </w:pPr>
      <w:r>
        <w:rPr>
          <w:rFonts w:hint="eastAsia" w:ascii="仿宋_GB2312" w:hAnsi="仿宋" w:eastAsia="仿宋_GB2312"/>
          <w:b/>
          <w:sz w:val="32"/>
          <w:szCs w:val="32"/>
        </w:rPr>
        <w:t>1.</w:t>
      </w:r>
      <w:r>
        <w:rPr>
          <w:rFonts w:hint="eastAsia" w:ascii="仿宋_GB2312" w:hAnsi="仿宋"/>
          <w:b/>
          <w:sz w:val="32"/>
          <w:szCs w:val="32"/>
        </w:rPr>
        <w:t xml:space="preserve"> </w:t>
      </w:r>
      <w:r>
        <w:rPr>
          <w:rFonts w:hint="eastAsia" w:ascii="仿宋_GB2312" w:hAnsi="仿宋" w:eastAsia="仿宋_GB2312"/>
          <w:b/>
          <w:sz w:val="32"/>
          <w:szCs w:val="32"/>
        </w:rPr>
        <w:t>一般公共服务支出（类）群众团体（款）行政运行（项）</w:t>
      </w:r>
      <w:r>
        <w:rPr>
          <w:rFonts w:hint="eastAsia" w:ascii="仿宋_GB2312" w:hAnsi="仿宋" w:eastAsia="仿宋_GB2312"/>
          <w:sz w:val="32"/>
          <w:szCs w:val="32"/>
        </w:rPr>
        <w:t>2019年预算48.12万元，比2018年预算增加7.37万元，增长16.1%，增长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pStyle w:val="10"/>
        <w:widowControl w:val="0"/>
        <w:adjustRightInd w:val="0"/>
        <w:snapToGrid w:val="0"/>
        <w:spacing w:before="0" w:beforeAutospacing="0" w:after="0" w:afterAutospacing="0" w:line="600" w:lineRule="exact"/>
        <w:ind w:firstLine="630" w:firstLineChars="196"/>
        <w:rPr>
          <w:rFonts w:ascii="仿宋_GB2312" w:hAnsi="仿宋" w:eastAsia="仿宋_GB2312" w:cs="Times New Roman"/>
          <w:kern w:val="2"/>
          <w:sz w:val="32"/>
          <w:szCs w:val="32"/>
        </w:rPr>
      </w:pPr>
      <w:r>
        <w:rPr>
          <w:rFonts w:hint="eastAsia" w:ascii="仿宋_GB2312" w:hAnsi="仿宋" w:eastAsia="仿宋_GB2312"/>
          <w:b/>
          <w:sz w:val="32"/>
          <w:szCs w:val="32"/>
        </w:rPr>
        <w:t>2.卫生健康支出（类）行政事业单位医疗支出（款）事业单位医疗（项）</w:t>
      </w:r>
      <w:r>
        <w:rPr>
          <w:rFonts w:hint="eastAsia" w:ascii="仿宋_GB2312" w:hAnsi="仿宋" w:eastAsia="仿宋_GB2312"/>
          <w:sz w:val="32"/>
          <w:szCs w:val="32"/>
        </w:rPr>
        <w:t>2019年预算1.5万元，比2018年预算增加0.31万元，增长20.67%，增长</w:t>
      </w:r>
      <w:r>
        <w:rPr>
          <w:rFonts w:hint="eastAsia" w:ascii="仿宋_GB2312" w:hAnsi="仿宋" w:eastAsia="仿宋_GB2312" w:cs="Times New Roman"/>
          <w:kern w:val="2"/>
          <w:sz w:val="32"/>
          <w:szCs w:val="32"/>
        </w:rPr>
        <w:t>主要原因是行政单位医疗保险支出随工资基数增长。</w:t>
      </w:r>
    </w:p>
    <w:p>
      <w:pPr>
        <w:pStyle w:val="10"/>
        <w:widowControl w:val="0"/>
        <w:adjustRightInd w:val="0"/>
        <w:snapToGrid w:val="0"/>
        <w:spacing w:before="0" w:beforeAutospacing="0" w:after="0" w:afterAutospacing="0" w:line="600" w:lineRule="exact"/>
        <w:ind w:firstLine="630" w:firstLineChars="196"/>
        <w:rPr>
          <w:rFonts w:ascii="仿宋_GB2312" w:hAnsi="仿宋" w:eastAsia="仿宋_GB2312"/>
          <w:sz w:val="32"/>
          <w:szCs w:val="32"/>
        </w:rPr>
      </w:pPr>
      <w:r>
        <w:rPr>
          <w:rFonts w:hint="eastAsia" w:ascii="仿宋_GB2312" w:hAnsi="仿宋" w:eastAsia="仿宋_GB2312"/>
          <w:b/>
          <w:sz w:val="32"/>
          <w:szCs w:val="32"/>
        </w:rPr>
        <w:t>4.住房保障支出（类）住房改革支出（款）住房公积金（项）</w:t>
      </w:r>
      <w:r>
        <w:rPr>
          <w:rFonts w:hint="eastAsia" w:ascii="仿宋_GB2312" w:hAnsi="仿宋" w:eastAsia="仿宋_GB2312"/>
          <w:sz w:val="32"/>
          <w:szCs w:val="32"/>
        </w:rPr>
        <w:t>2019年预算2.74万元，比2018年预算增加0.53万元，增长19.34%，增长原因主要是住房公积金缴存基数随工资基数增长。</w:t>
      </w:r>
    </w:p>
    <w:p>
      <w:pPr>
        <w:pStyle w:val="10"/>
        <w:widowControl w:val="0"/>
        <w:adjustRightInd w:val="0"/>
        <w:snapToGrid w:val="0"/>
        <w:spacing w:before="0" w:beforeAutospacing="0" w:after="0" w:afterAutospacing="0" w:line="600" w:lineRule="exact"/>
        <w:ind w:firstLine="640" w:firstLineChars="200"/>
        <w:rPr>
          <w:rFonts w:ascii="黑体" w:eastAsia="黑体"/>
          <w:sz w:val="32"/>
          <w:szCs w:val="32"/>
        </w:rPr>
      </w:pPr>
      <w:r>
        <w:rPr>
          <w:rFonts w:hint="eastAsia" w:ascii="黑体" w:hAnsi="仿宋" w:eastAsia="黑体" w:cs="Times New Roman"/>
          <w:kern w:val="2"/>
          <w:sz w:val="32"/>
          <w:szCs w:val="32"/>
        </w:rPr>
        <w:t>三、关于2019年一般公共预算基本支出情况说明</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2019年一般公共预算基本支出48.12万元，其中：</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工资福利支出29.11万元，主要包括：基本工资、津贴补贴、奖金、机关事业单位基本养老保险缴费、职工基本医疗保险缴费、其他社会保障缴费、住房公积金等支出。商品和服务支出6.27万元，主要包括：办公费、会议费、工会经费等支出。</w:t>
      </w:r>
    </w:p>
    <w:p>
      <w:pPr>
        <w:pStyle w:val="10"/>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四、关于2019年政府性基金预算拨款情况说明</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2019年没有政府性基金预算拨款收入，也没有使用政府性基金预算拨款安排的支出。</w:t>
      </w:r>
    </w:p>
    <w:p>
      <w:pPr>
        <w:pStyle w:val="10"/>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五、关于2019年国有资本经营预算拨款情况说明</w:t>
      </w:r>
    </w:p>
    <w:p>
      <w:pPr>
        <w:pStyle w:val="10"/>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2019年没有国有资本经营预算拨款收入，也没有使用国有资本经营预算拨款安排的支出。</w:t>
      </w:r>
    </w:p>
    <w:p>
      <w:pPr>
        <w:pStyle w:val="10"/>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六、关于2019年收支预算总体情况说明</w:t>
      </w:r>
    </w:p>
    <w:p>
      <w:pPr>
        <w:pStyle w:val="10"/>
        <w:widowControl w:val="0"/>
        <w:adjustRightInd w:val="0"/>
        <w:snapToGrid w:val="0"/>
        <w:spacing w:before="0" w:beforeAutospacing="0" w:after="0" w:afterAutospacing="0" w:line="600" w:lineRule="exact"/>
        <w:ind w:firstLine="627" w:firstLineChars="196"/>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2019年收支总预算58.12万元，收入全部是一般公共预算拨款收入，支出包括：一般公共服务支出、卫生健康支出、住房保障支出。</w:t>
      </w:r>
    </w:p>
    <w:p>
      <w:pPr>
        <w:pStyle w:val="10"/>
        <w:widowControl w:val="0"/>
        <w:adjustRightInd w:val="0"/>
        <w:snapToGrid w:val="0"/>
        <w:spacing w:before="0" w:beforeAutospacing="0" w:after="0" w:afterAutospacing="0" w:line="600" w:lineRule="exact"/>
        <w:ind w:firstLine="627" w:firstLineChars="196"/>
        <w:rPr>
          <w:rFonts w:ascii="黑体" w:hAnsi="黑体" w:eastAsia="黑体"/>
          <w:sz w:val="32"/>
          <w:szCs w:val="32"/>
        </w:rPr>
      </w:pPr>
      <w:r>
        <w:rPr>
          <w:rFonts w:hint="eastAsia" w:ascii="黑体" w:hAnsi="黑体" w:eastAsia="黑体"/>
          <w:sz w:val="32"/>
          <w:szCs w:val="32"/>
        </w:rPr>
        <w:t>七、关于2019年收入预算情况说明</w:t>
      </w:r>
    </w:p>
    <w:p>
      <w:pPr>
        <w:pStyle w:val="10"/>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2019年收入预算58.12万元，收入全部为一般公共预算拨款收入，比2018年预算</w:t>
      </w:r>
      <w:r>
        <w:rPr>
          <w:rFonts w:hint="eastAsia" w:ascii="仿宋_GB2312" w:hAnsi="仿宋" w:eastAsia="仿宋_GB2312" w:cs="Times New Roman"/>
          <w:kern w:val="2"/>
          <w:sz w:val="32"/>
          <w:szCs w:val="32"/>
        </w:rPr>
        <w:t>增加7.37万元，增长16.1%，</w:t>
      </w:r>
      <w:r>
        <w:rPr>
          <w:rFonts w:hint="eastAsia" w:ascii="仿宋_GB2312" w:hAnsi="仿宋" w:eastAsia="仿宋_GB2312"/>
          <w:sz w:val="32"/>
          <w:szCs w:val="32"/>
        </w:rPr>
        <w:t>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八、关于2019年支出预算情况说明</w:t>
      </w:r>
    </w:p>
    <w:p>
      <w:pPr>
        <w:pStyle w:val="10"/>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共青团寿县委员会</w:t>
      </w:r>
      <w:r>
        <w:rPr>
          <w:rFonts w:hint="eastAsia" w:ascii="仿宋_GB2312" w:hAnsi="仿宋" w:eastAsia="仿宋_GB2312"/>
          <w:sz w:val="32"/>
          <w:szCs w:val="32"/>
        </w:rPr>
        <w:t>2019年支出预算58.12万元，比2018年预算增加7.37万元，增长16.1%，增长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r>
        <w:rPr>
          <w:rFonts w:hint="eastAsia" w:ascii="仿宋_GB2312" w:hAnsi="仿宋" w:eastAsia="仿宋_GB2312"/>
          <w:sz w:val="32"/>
          <w:szCs w:val="32"/>
        </w:rPr>
        <w:t>其中，基本支出48.12万元，占82.79%，主要用于保障机构日常运转、完成日常工作任务等；项目支出10万元，占17.2%，主要用于共青团工作经费等支出。</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 xml:space="preserve">九、关于2019年“三公”经费财政拨款预算情况说明 </w:t>
      </w:r>
    </w:p>
    <w:p>
      <w:pPr>
        <w:pStyle w:val="10"/>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1.因公出国（境）费用： 2019年</w:t>
      </w:r>
      <w:r>
        <w:rPr>
          <w:rFonts w:hint="eastAsia" w:ascii="仿宋_GB2312" w:hAnsi="仿宋" w:eastAsia="仿宋_GB2312" w:cs="Times New Roman"/>
          <w:kern w:val="2"/>
          <w:sz w:val="32"/>
          <w:szCs w:val="32"/>
        </w:rPr>
        <w:t>共青团寿县委员会</w:t>
      </w:r>
      <w:r>
        <w:rPr>
          <w:rFonts w:hint="eastAsia" w:ascii="仿宋_GB2312" w:hAnsi="Verdana" w:eastAsia="仿宋_GB2312" w:cs="Times New Roman"/>
          <w:kern w:val="2"/>
          <w:sz w:val="32"/>
          <w:szCs w:val="32"/>
        </w:rPr>
        <w:t>未安排因公出国（境）费用预算，与上年预算数持平。</w:t>
      </w:r>
    </w:p>
    <w:p>
      <w:pPr>
        <w:pStyle w:val="10"/>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2.公务接待费：2019年安排公务接待费预算</w:t>
      </w:r>
      <w:r>
        <w:rPr>
          <w:rFonts w:hint="eastAsia" w:ascii="仿宋_GB2312" w:hAnsi="仿宋" w:eastAsia="仿宋_GB2312"/>
          <w:sz w:val="32"/>
          <w:szCs w:val="32"/>
        </w:rPr>
        <w:t>1.5</w:t>
      </w:r>
      <w:r>
        <w:rPr>
          <w:rFonts w:hint="eastAsia" w:ascii="仿宋_GB2312" w:hAnsi="Verdana" w:eastAsia="仿宋_GB2312" w:cs="Times New Roman"/>
          <w:kern w:val="2"/>
          <w:sz w:val="32"/>
          <w:szCs w:val="32"/>
        </w:rPr>
        <w:t>万元，与上年预算数持平。主</w:t>
      </w:r>
      <w:r>
        <w:rPr>
          <w:rFonts w:hint="eastAsia" w:ascii="仿宋_GB2312" w:eastAsia="仿宋_GB2312"/>
          <w:color w:val="000000"/>
          <w:sz w:val="30"/>
          <w:szCs w:val="30"/>
        </w:rPr>
        <w:t>要用于接待</w:t>
      </w:r>
      <w:r>
        <w:rPr>
          <w:rFonts w:hint="eastAsia" w:ascii="仿宋_GB2312" w:hAnsi="华文仿宋" w:eastAsia="仿宋_GB2312"/>
          <w:sz w:val="32"/>
          <w:szCs w:val="32"/>
        </w:rPr>
        <w:t>上级检查、其它市县来考察、调研等</w:t>
      </w:r>
      <w:r>
        <w:rPr>
          <w:rFonts w:hint="eastAsia" w:ascii="仿宋_GB2312" w:hAnsi="Verdana" w:eastAsia="仿宋_GB2312" w:cs="Times New Roman"/>
          <w:kern w:val="2"/>
          <w:sz w:val="32"/>
          <w:szCs w:val="32"/>
        </w:rPr>
        <w:t>支出。持平原因是两年该项目支出内容基本相同。</w:t>
      </w:r>
    </w:p>
    <w:p>
      <w:pPr>
        <w:pStyle w:val="10"/>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3.</w:t>
      </w:r>
      <w:r>
        <w:rPr>
          <w:rFonts w:hint="eastAsia"/>
        </w:rPr>
        <w:t xml:space="preserve"> </w:t>
      </w:r>
      <w:r>
        <w:rPr>
          <w:rFonts w:hint="eastAsia" w:ascii="仿宋_GB2312" w:hAnsi="Verdana" w:eastAsia="仿宋_GB2312" w:cs="Times New Roman"/>
          <w:kern w:val="2"/>
          <w:sz w:val="32"/>
          <w:szCs w:val="32"/>
        </w:rPr>
        <w:t>公务用车购置及运行维护费：2019年没有安排公务用车购置及运行维护费预算，与上年预算数持平。持平原因是共青团寿县委员会已于2016年车改。</w:t>
      </w:r>
    </w:p>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十、其他重要事项情况说明</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（一）项目及绩效目标情况</w:t>
      </w:r>
    </w:p>
    <w:p>
      <w:pPr>
        <w:adjustRightInd w:val="0"/>
        <w:snapToGrid w:val="0"/>
        <w:spacing w:line="600" w:lineRule="exact"/>
        <w:ind w:firstLine="800" w:firstLineChars="250"/>
        <w:jc w:val="left"/>
        <w:rPr>
          <w:rFonts w:ascii="仿宋_GB2312" w:hAnsi="楷体" w:eastAsia="仿宋_GB2312"/>
          <w:sz w:val="32"/>
          <w:szCs w:val="32"/>
        </w:rPr>
      </w:pPr>
      <w:r>
        <w:rPr>
          <w:rFonts w:hint="eastAsia" w:ascii="仿宋_GB2312" w:hAnsi="Verdana" w:eastAsia="仿宋_GB2312"/>
          <w:sz w:val="32"/>
          <w:szCs w:val="32"/>
        </w:rPr>
        <w:t>共青团</w:t>
      </w:r>
      <w:r>
        <w:rPr>
          <w:rFonts w:hint="eastAsia" w:ascii="仿宋_GB2312" w:hAnsi="楷体" w:eastAsia="仿宋_GB2312"/>
          <w:sz w:val="32"/>
          <w:szCs w:val="32"/>
        </w:rPr>
        <w:t>寿县委员会2019年没有需要编制绩效目标的项目。</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（二）机关运行经费</w:t>
      </w:r>
    </w:p>
    <w:p>
      <w:p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Verdana" w:eastAsia="仿宋_GB2312"/>
          <w:sz w:val="32"/>
          <w:szCs w:val="32"/>
        </w:rPr>
        <w:t>共青团</w:t>
      </w:r>
      <w:r>
        <w:rPr>
          <w:rFonts w:hint="eastAsia" w:ascii="仿宋_GB2312" w:hAnsi="楷体" w:eastAsia="仿宋_GB2312"/>
          <w:sz w:val="32"/>
          <w:szCs w:val="32"/>
        </w:rPr>
        <w:t>寿县委员会</w:t>
      </w:r>
      <w:bookmarkStart w:id="0" w:name="_GoBack"/>
      <w:bookmarkEnd w:id="0"/>
      <w:r>
        <w:rPr>
          <w:rFonts w:hint="eastAsia" w:ascii="仿宋_GB2312" w:hAnsi="仿宋" w:eastAsia="仿宋_GB2312"/>
          <w:sz w:val="32"/>
          <w:szCs w:val="32"/>
        </w:rPr>
        <w:t>2019年机关运行经费财政拨款预算19.1万元，比2018年增加1.8万元，增长25%，增长主要原因是单位增加了工作人员，相应公用经费等自然增长。</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（三）政府采购情况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Verdana" w:eastAsia="仿宋_GB2312"/>
          <w:sz w:val="32"/>
          <w:szCs w:val="32"/>
        </w:rPr>
        <w:t>共青团</w:t>
      </w:r>
      <w:r>
        <w:rPr>
          <w:rFonts w:hint="eastAsia" w:ascii="仿宋_GB2312" w:hAnsi="楷体" w:eastAsia="仿宋_GB2312"/>
          <w:sz w:val="32"/>
          <w:szCs w:val="32"/>
        </w:rPr>
        <w:t>寿县委员会2019年政府采购预算总额0万元。其中：政府采购货物预算0万元。</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（四）政府购买服务情况</w:t>
      </w:r>
    </w:p>
    <w:p>
      <w:pPr>
        <w:adjustRightInd w:val="0"/>
        <w:snapToGrid w:val="0"/>
        <w:spacing w:line="600" w:lineRule="exact"/>
        <w:ind w:firstLine="640" w:firstLineChars="200"/>
        <w:jc w:val="left"/>
        <w:rPr>
          <w:rFonts w:ascii="仿宋_GB2312" w:hAnsi="楷体" w:eastAsia="仿宋_GB2312"/>
          <w:b/>
          <w:sz w:val="32"/>
          <w:szCs w:val="32"/>
        </w:rPr>
      </w:pPr>
      <w:r>
        <w:rPr>
          <w:rFonts w:hint="eastAsia" w:ascii="仿宋_GB2312" w:hAnsi="Verdana" w:eastAsia="仿宋_GB2312"/>
          <w:sz w:val="32"/>
          <w:szCs w:val="32"/>
        </w:rPr>
        <w:t>共青团</w:t>
      </w:r>
      <w:r>
        <w:rPr>
          <w:rFonts w:hint="eastAsia" w:ascii="仿宋_GB2312" w:hAnsi="楷体" w:eastAsia="仿宋_GB2312"/>
          <w:sz w:val="32"/>
          <w:szCs w:val="32"/>
        </w:rPr>
        <w:t>寿县委员会</w:t>
      </w:r>
      <w:r>
        <w:rPr>
          <w:rFonts w:hint="eastAsia" w:ascii="仿宋_GB2312" w:hAnsi="仿宋" w:eastAsia="仿宋_GB2312"/>
          <w:sz w:val="32"/>
          <w:szCs w:val="32"/>
        </w:rPr>
        <w:t>2019年度未安排</w:t>
      </w:r>
      <w:r>
        <w:rPr>
          <w:rFonts w:hint="eastAsia" w:ascii="仿宋_GB2312" w:hAnsi="楷体" w:eastAsia="仿宋_GB2312"/>
          <w:sz w:val="32"/>
          <w:szCs w:val="32"/>
        </w:rPr>
        <w:t>政府购买服务支出。</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（五）国有资产占有使用情况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截至2018年底，</w:t>
      </w:r>
      <w:r>
        <w:rPr>
          <w:rFonts w:hint="eastAsia" w:ascii="仿宋_GB2312" w:hAnsi="Verdana" w:eastAsia="仿宋_GB2312"/>
          <w:sz w:val="32"/>
          <w:szCs w:val="32"/>
        </w:rPr>
        <w:t>共青团</w:t>
      </w:r>
      <w:r>
        <w:rPr>
          <w:rFonts w:hint="eastAsia" w:ascii="仿宋_GB2312" w:hAnsi="楷体" w:eastAsia="仿宋_GB2312"/>
          <w:sz w:val="32"/>
          <w:szCs w:val="32"/>
        </w:rPr>
        <w:t>寿县委员会共有车辆0辆。单位价值50万元以上的通用设备0台（套），单位价值100万元以上的专用设备0台（套）。</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2019年部门预算安排购置公务用车0辆；安排购置单位价值50万元以上的通用设备0台（套）；安排购置单位价值100万元以上专用设备0台（套）。</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（六）预算绩效目标设置情况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共青团寿县委员会</w:t>
      </w:r>
      <w:r>
        <w:rPr>
          <w:rFonts w:hint="eastAsia" w:ascii="仿宋_GB2312" w:hAnsi="楷体" w:eastAsia="仿宋_GB2312"/>
          <w:sz w:val="32"/>
          <w:szCs w:val="32"/>
        </w:rPr>
        <w:t>2019年无绩效目标支出项目。</w:t>
      </w:r>
    </w:p>
    <w:p>
      <w:pPr>
        <w:adjustRightInd w:val="0"/>
        <w:snapToGrid w:val="0"/>
        <w:spacing w:line="560" w:lineRule="exact"/>
        <w:rPr>
          <w:rFonts w:ascii="方正小标宋_GBK" w:hAnsi="黑体" w:eastAsia="方正小标宋_GBK" w:cs="宋体"/>
          <w:bCs/>
          <w:sz w:val="44"/>
          <w:szCs w:val="44"/>
        </w:rPr>
      </w:pPr>
    </w:p>
    <w:p>
      <w:pPr>
        <w:adjustRightInd w:val="0"/>
        <w:snapToGrid w:val="0"/>
        <w:spacing w:line="560" w:lineRule="exact"/>
        <w:jc w:val="center"/>
        <w:rPr>
          <w:rFonts w:ascii="仿宋_GB2312" w:hAnsi="楷体" w:eastAsia="仿宋_GB2312"/>
          <w:sz w:val="32"/>
          <w:szCs w:val="32"/>
        </w:rPr>
      </w:pPr>
      <w:r>
        <w:rPr>
          <w:rFonts w:hint="eastAsia" w:ascii="宋体" w:hAnsi="宋体" w:cs="宋体"/>
          <w:bCs/>
          <w:sz w:val="44"/>
          <w:szCs w:val="44"/>
        </w:rPr>
        <w:t>第四部分</w:t>
      </w:r>
      <w:r>
        <w:rPr>
          <w:rFonts w:hint="eastAsia" w:ascii="方正小标宋_GBK" w:hAnsi="黑体" w:eastAsia="方正小标宋_GBK" w:cs="宋体"/>
          <w:bCs/>
          <w:sz w:val="44"/>
          <w:szCs w:val="44"/>
        </w:rPr>
        <w:t xml:space="preserve"> </w:t>
      </w:r>
      <w:r>
        <w:rPr>
          <w:rFonts w:hint="eastAsia" w:ascii="宋体" w:hAnsi="宋体" w:cs="宋体"/>
          <w:bCs/>
          <w:sz w:val="44"/>
          <w:szCs w:val="44"/>
        </w:rPr>
        <w:t>名词解释</w:t>
      </w:r>
    </w:p>
    <w:p>
      <w:pPr>
        <w:adjustRightInd w:val="0"/>
        <w:snapToGrid w:val="0"/>
        <w:spacing w:line="600" w:lineRule="exact"/>
        <w:ind w:firstLine="640" w:firstLineChars="200"/>
        <w:rPr>
          <w:rFonts w:ascii="黑体" w:hAnsi="黑体" w:eastAsia="黑体"/>
          <w:sz w:val="32"/>
          <w:szCs w:val="32"/>
        </w:rPr>
      </w:pPr>
    </w:p>
    <w:p>
      <w:pPr>
        <w:adjustRightInd w:val="0"/>
        <w:snapToGrid w:val="0"/>
        <w:spacing w:line="600" w:lineRule="exact"/>
        <w:ind w:firstLine="640" w:firstLineChars="200"/>
        <w:jc w:val="left"/>
        <w:rPr>
          <w:rFonts w:ascii="仿宋_GB2312" w:hAnsi="黑体" w:eastAsia="仿宋_GB2312"/>
          <w:sz w:val="32"/>
          <w:szCs w:val="32"/>
        </w:rPr>
      </w:pPr>
      <w:r>
        <w:rPr>
          <w:rFonts w:hint="eastAsia" w:ascii="黑体" w:hAnsi="黑体" w:eastAsia="黑体"/>
          <w:sz w:val="32"/>
          <w:szCs w:val="32"/>
        </w:rPr>
        <w:t>一、财政拨款收入</w:t>
      </w:r>
      <w:r>
        <w:rPr>
          <w:rFonts w:hint="eastAsia" w:ascii="黑体" w:hAnsi="黑体" w:eastAsia="黑体"/>
          <w:b/>
          <w:sz w:val="32"/>
          <w:szCs w:val="32"/>
        </w:rPr>
        <w:t>：</w:t>
      </w:r>
      <w:r>
        <w:rPr>
          <w:rFonts w:hint="eastAsia" w:ascii="仿宋_GB2312" w:hAnsi="黑体" w:eastAsia="仿宋_GB2312"/>
          <w:sz w:val="32"/>
          <w:szCs w:val="32"/>
        </w:rPr>
        <w:t>指县财政当年拨付的资金，主要包括一般公共预算拨款收入、政府性基金预算拨款收入、国有资本经营预算拨款收入。</w:t>
      </w:r>
    </w:p>
    <w:p>
      <w:pPr>
        <w:pStyle w:val="10"/>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二、财政专户管理非税收入：</w:t>
      </w:r>
      <w:r>
        <w:rPr>
          <w:rFonts w:hint="eastAsia" w:ascii="仿宋_GB2312" w:hAnsi="黑体" w:eastAsia="仿宋_GB2312" w:cs="Times New Roman"/>
          <w:kern w:val="2"/>
          <w:sz w:val="32"/>
          <w:szCs w:val="32"/>
        </w:rPr>
        <w:t>指按照非税收入管理相关规定，纳入财政专户管理的教育收费等。</w:t>
      </w:r>
    </w:p>
    <w:p>
      <w:pPr>
        <w:pStyle w:val="10"/>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三、其他收入：</w:t>
      </w:r>
      <w:r>
        <w:rPr>
          <w:rFonts w:hint="eastAsia" w:ascii="仿宋_GB2312" w:hAnsi="黑体" w:eastAsia="仿宋_GB2312" w:cs="Times New Roman"/>
          <w:kern w:val="2"/>
          <w:sz w:val="32"/>
          <w:szCs w:val="32"/>
        </w:rPr>
        <w:t>指除了财政拨款收入、财政专户管理非税收入等以外的收入。</w:t>
      </w:r>
    </w:p>
    <w:p>
      <w:pPr>
        <w:pStyle w:val="10"/>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四、上年结转：</w:t>
      </w:r>
      <w:r>
        <w:rPr>
          <w:rFonts w:hint="eastAsia" w:ascii="仿宋_GB2312" w:hAnsi="黑体" w:eastAsia="仿宋_GB2312" w:cs="Times New Roman"/>
          <w:kern w:val="2"/>
          <w:sz w:val="32"/>
          <w:szCs w:val="32"/>
        </w:rPr>
        <w:t>指以前年度安排、结转到本年仍按原用途继续使用的资金。</w:t>
      </w:r>
    </w:p>
    <w:p>
      <w:pPr>
        <w:pStyle w:val="10"/>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五、结转下年：</w:t>
      </w:r>
      <w:r>
        <w:rPr>
          <w:rFonts w:hint="eastAsia" w:ascii="仿宋_GB2312" w:hAnsi="黑体" w:eastAsia="仿宋_GB2312" w:cs="Times New Roman"/>
          <w:kern w:val="2"/>
          <w:sz w:val="32"/>
          <w:szCs w:val="32"/>
        </w:rPr>
        <w:t>指以前年度预算安排、因客观条件发生变化无法按原计划实施，需以后年度按原用途继续使用的资金。</w:t>
      </w:r>
    </w:p>
    <w:p>
      <w:pPr>
        <w:pStyle w:val="10"/>
        <w:widowControl w:val="0"/>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六、基本支出：</w:t>
      </w:r>
      <w:r>
        <w:rPr>
          <w:rFonts w:hint="eastAsia" w:ascii="仿宋_GB2312" w:hAnsi="黑体" w:eastAsia="仿宋_GB2312"/>
          <w:sz w:val="32"/>
          <w:szCs w:val="32"/>
        </w:rPr>
        <w:t>指为保障机构正常运转、完成日常工作任务而发生的人员支出和公用支出。</w:t>
      </w:r>
    </w:p>
    <w:p>
      <w:pPr>
        <w:pStyle w:val="10"/>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七、项目支出：</w:t>
      </w:r>
      <w:r>
        <w:rPr>
          <w:rFonts w:hint="eastAsia" w:ascii="仿宋_GB2312" w:hAnsi="黑体" w:eastAsia="仿宋_GB2312"/>
          <w:sz w:val="32"/>
          <w:szCs w:val="32"/>
        </w:rPr>
        <w:t>指在基本支出之外为完成特定行政任务和事业发展目标所发生的支出。</w:t>
      </w:r>
    </w:p>
    <w:p>
      <w:pPr>
        <w:pStyle w:val="10"/>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10"/>
        <w:widowControl w:val="0"/>
        <w:spacing w:before="0" w:beforeAutospacing="0" w:after="0" w:afterAutospacing="0" w:line="600" w:lineRule="exact"/>
        <w:ind w:firstLine="537" w:firstLineChars="168"/>
        <w:rPr>
          <w:rFonts w:ascii="仿宋_GB2312" w:hAnsi="黑体" w:eastAsia="仿宋_GB2312"/>
          <w:sz w:val="32"/>
          <w:szCs w:val="32"/>
        </w:rPr>
      </w:pPr>
      <w:r>
        <w:rPr>
          <w:rFonts w:hint="eastAsia" w:ascii="黑体" w:hAnsi="黑体" w:eastAsia="黑体" w:cs="Times New Roman"/>
          <w:kern w:val="2"/>
          <w:sz w:val="32"/>
          <w:szCs w:val="32"/>
        </w:rPr>
        <w:t>九、支出功能分类科目:</w:t>
      </w:r>
      <w:r>
        <w:rPr>
          <w:rFonts w:hint="eastAsia" w:ascii="仿宋_GB2312" w:hAnsi="黑体" w:eastAsia="仿宋_GB2312"/>
          <w:sz w:val="32"/>
          <w:szCs w:val="32"/>
        </w:rPr>
        <w:t>主要反映政府活动的不同功能和政策目标，具体设类、款、项三级。</w:t>
      </w:r>
    </w:p>
    <w:p>
      <w:pPr>
        <w:pStyle w:val="10"/>
        <w:widowControl w:val="0"/>
        <w:spacing w:before="0" w:beforeAutospacing="0" w:after="0" w:afterAutospacing="0" w:line="600" w:lineRule="exact"/>
        <w:ind w:firstLine="537" w:firstLineChars="168"/>
        <w:rPr>
          <w:rFonts w:ascii="仿宋_GB2312" w:hAnsi="黑体" w:eastAsia="仿宋_GB2312" w:cs="Arial"/>
          <w:sz w:val="32"/>
          <w:szCs w:val="32"/>
          <w:shd w:val="clear" w:color="auto" w:fill="FFFFFF"/>
        </w:rPr>
      </w:pPr>
      <w:r>
        <w:rPr>
          <w:rFonts w:hint="eastAsia" w:ascii="黑体" w:hAnsi="黑体" w:eastAsia="黑体" w:cs="Times New Roman"/>
          <w:kern w:val="2"/>
          <w:sz w:val="32"/>
          <w:szCs w:val="32"/>
        </w:rPr>
        <w:t>十、支出经济分类科目：</w:t>
      </w:r>
      <w:r>
        <w:rPr>
          <w:rFonts w:hint="eastAsia" w:ascii="仿宋_GB2312" w:hAnsi="黑体" w:eastAsia="仿宋_GB2312"/>
          <w:sz w:val="32"/>
          <w:szCs w:val="32"/>
        </w:rPr>
        <w:t>是指政府支出按经济性质和具体用途所作的一种分类科目，具体设类、款两级。</w:t>
      </w:r>
    </w:p>
    <w:sectPr>
      <w:footerReference r:id="rId3" w:type="default"/>
      <w:footerReference r:id="rId4" w:type="even"/>
      <w:pgSz w:w="11907" w:h="16840"/>
      <w:pgMar w:top="2098" w:right="1474" w:bottom="1985" w:left="1588" w:header="851" w:footer="992" w:gutter="0"/>
      <w:pgNumType w:fmt="chineseCounting"/>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Fonts w:hint="eastAsia"/>
      </w:rPr>
      <w:t>九</w:t>
    </w:r>
    <w:r>
      <w:rPr>
        <w:rStyle w:val="15"/>
      </w:rPr>
      <w:fldChar w:fldCharType="end"/>
    </w:r>
  </w:p>
  <w:p>
    <w:pPr>
      <w:pStyle w:val="8"/>
      <w:ind w:firstLine="7440" w:firstLineChars="3100"/>
      <w:rPr>
        <w:rFonts w:ascii="仿宋_GB2312" w:eastAsia="仿宋_GB2312"/>
        <w:sz w:val="24"/>
        <w:szCs w:val="24"/>
      </w:rPr>
    </w:pPr>
    <w:r>
      <w:rPr>
        <w:rFonts w:ascii="仿宋_GB2312" w:eastAsia="仿宋_GB2312"/>
        <w:sz w:val="24"/>
        <w:szCs w:val="24"/>
      </w:rPr>
      <w:t>——</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Fonts w:hint="eastAsia"/>
      </w:rPr>
      <w:t>八</w:t>
    </w:r>
    <w:r>
      <w:rPr>
        <w:rStyle w:val="15"/>
      </w:rPr>
      <w:fldChar w:fldCharType="end"/>
    </w:r>
  </w:p>
  <w:p>
    <w:pPr>
      <w:pStyle w:val="8"/>
      <w:ind w:firstLine="420" w:firstLineChars="150"/>
      <w:rPr>
        <w:rFonts w:ascii="宋体"/>
        <w:sz w:val="28"/>
        <w:szCs w:val="28"/>
      </w:rPr>
    </w:pPr>
    <w:r>
      <w:rPr>
        <w:rFonts w:ascii="宋体" w:hAnsi="宋体" w:cs="宋体"/>
        <w:sz w:val="28"/>
        <w:szCs w:val="28"/>
      </w:rPr>
      <w:t>—  —</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88"/>
    <w:rsid w:val="00010D40"/>
    <w:rsid w:val="00010EE6"/>
    <w:rsid w:val="000112B3"/>
    <w:rsid w:val="000112B7"/>
    <w:rsid w:val="00025243"/>
    <w:rsid w:val="00034186"/>
    <w:rsid w:val="00045DC8"/>
    <w:rsid w:val="00066589"/>
    <w:rsid w:val="00090CD6"/>
    <w:rsid w:val="000A2E37"/>
    <w:rsid w:val="000A53D4"/>
    <w:rsid w:val="000B3583"/>
    <w:rsid w:val="000C19B9"/>
    <w:rsid w:val="000D3E75"/>
    <w:rsid w:val="000D53FB"/>
    <w:rsid w:val="000F534B"/>
    <w:rsid w:val="00102084"/>
    <w:rsid w:val="00103005"/>
    <w:rsid w:val="0014245D"/>
    <w:rsid w:val="001466FA"/>
    <w:rsid w:val="00160655"/>
    <w:rsid w:val="00166CAC"/>
    <w:rsid w:val="00171598"/>
    <w:rsid w:val="0018297A"/>
    <w:rsid w:val="00187451"/>
    <w:rsid w:val="001A6E52"/>
    <w:rsid w:val="001B65A9"/>
    <w:rsid w:val="001D2BF9"/>
    <w:rsid w:val="0021633B"/>
    <w:rsid w:val="00232988"/>
    <w:rsid w:val="00232CEA"/>
    <w:rsid w:val="00270AB6"/>
    <w:rsid w:val="0027671E"/>
    <w:rsid w:val="00280B6D"/>
    <w:rsid w:val="00282B0B"/>
    <w:rsid w:val="0028603E"/>
    <w:rsid w:val="00292A54"/>
    <w:rsid w:val="00297056"/>
    <w:rsid w:val="002E2FA3"/>
    <w:rsid w:val="002F30C3"/>
    <w:rsid w:val="003017A7"/>
    <w:rsid w:val="00301856"/>
    <w:rsid w:val="0031228F"/>
    <w:rsid w:val="00326D6D"/>
    <w:rsid w:val="00336C7B"/>
    <w:rsid w:val="00340359"/>
    <w:rsid w:val="00355839"/>
    <w:rsid w:val="003749CA"/>
    <w:rsid w:val="003A3944"/>
    <w:rsid w:val="003A6315"/>
    <w:rsid w:val="003B43E2"/>
    <w:rsid w:val="003E7433"/>
    <w:rsid w:val="00407D0C"/>
    <w:rsid w:val="00423A31"/>
    <w:rsid w:val="00430C4B"/>
    <w:rsid w:val="00440D27"/>
    <w:rsid w:val="0044254E"/>
    <w:rsid w:val="00445D18"/>
    <w:rsid w:val="00454DE1"/>
    <w:rsid w:val="00461C09"/>
    <w:rsid w:val="00462ABA"/>
    <w:rsid w:val="00481FAD"/>
    <w:rsid w:val="0048254C"/>
    <w:rsid w:val="00496A45"/>
    <w:rsid w:val="004B0916"/>
    <w:rsid w:val="004C56D0"/>
    <w:rsid w:val="004D5DC4"/>
    <w:rsid w:val="004E1494"/>
    <w:rsid w:val="004E6F18"/>
    <w:rsid w:val="004F0C9C"/>
    <w:rsid w:val="004F23A3"/>
    <w:rsid w:val="00537B6C"/>
    <w:rsid w:val="00550379"/>
    <w:rsid w:val="0056018B"/>
    <w:rsid w:val="00567540"/>
    <w:rsid w:val="00582488"/>
    <w:rsid w:val="00583890"/>
    <w:rsid w:val="00586400"/>
    <w:rsid w:val="0059614B"/>
    <w:rsid w:val="005F2177"/>
    <w:rsid w:val="00601739"/>
    <w:rsid w:val="00604C83"/>
    <w:rsid w:val="00626F04"/>
    <w:rsid w:val="006516A1"/>
    <w:rsid w:val="00652BD4"/>
    <w:rsid w:val="00655611"/>
    <w:rsid w:val="0066000A"/>
    <w:rsid w:val="00671F7B"/>
    <w:rsid w:val="006742E9"/>
    <w:rsid w:val="00694C7C"/>
    <w:rsid w:val="006D0E81"/>
    <w:rsid w:val="006E19D8"/>
    <w:rsid w:val="006E3D28"/>
    <w:rsid w:val="0070299A"/>
    <w:rsid w:val="00703E41"/>
    <w:rsid w:val="00711996"/>
    <w:rsid w:val="00713B0F"/>
    <w:rsid w:val="00721F20"/>
    <w:rsid w:val="00722104"/>
    <w:rsid w:val="007259C2"/>
    <w:rsid w:val="00725FFD"/>
    <w:rsid w:val="00743027"/>
    <w:rsid w:val="00750473"/>
    <w:rsid w:val="0075558B"/>
    <w:rsid w:val="00760318"/>
    <w:rsid w:val="0077491C"/>
    <w:rsid w:val="007754C4"/>
    <w:rsid w:val="00786982"/>
    <w:rsid w:val="00794A6F"/>
    <w:rsid w:val="007A0BFC"/>
    <w:rsid w:val="007B3C09"/>
    <w:rsid w:val="007C2483"/>
    <w:rsid w:val="007D1EFD"/>
    <w:rsid w:val="007D4149"/>
    <w:rsid w:val="007D43F2"/>
    <w:rsid w:val="007D6076"/>
    <w:rsid w:val="007F35DC"/>
    <w:rsid w:val="00803DFB"/>
    <w:rsid w:val="00812D51"/>
    <w:rsid w:val="008150D4"/>
    <w:rsid w:val="008219D8"/>
    <w:rsid w:val="00821F55"/>
    <w:rsid w:val="00822D10"/>
    <w:rsid w:val="00840FD9"/>
    <w:rsid w:val="008A27E6"/>
    <w:rsid w:val="008A4A15"/>
    <w:rsid w:val="008B78E4"/>
    <w:rsid w:val="008C519D"/>
    <w:rsid w:val="008E005B"/>
    <w:rsid w:val="009079C0"/>
    <w:rsid w:val="0091544B"/>
    <w:rsid w:val="00926C45"/>
    <w:rsid w:val="00955FE5"/>
    <w:rsid w:val="009929C9"/>
    <w:rsid w:val="009A0038"/>
    <w:rsid w:val="009B2BD2"/>
    <w:rsid w:val="009C084A"/>
    <w:rsid w:val="009C169A"/>
    <w:rsid w:val="009C37C4"/>
    <w:rsid w:val="009E3B9F"/>
    <w:rsid w:val="00A05763"/>
    <w:rsid w:val="00A14B1F"/>
    <w:rsid w:val="00A156E4"/>
    <w:rsid w:val="00A1661E"/>
    <w:rsid w:val="00A20CAC"/>
    <w:rsid w:val="00A23C33"/>
    <w:rsid w:val="00A54070"/>
    <w:rsid w:val="00A54472"/>
    <w:rsid w:val="00A63233"/>
    <w:rsid w:val="00A65294"/>
    <w:rsid w:val="00A93010"/>
    <w:rsid w:val="00AA21F7"/>
    <w:rsid w:val="00AB6E88"/>
    <w:rsid w:val="00AD4AA4"/>
    <w:rsid w:val="00AD576E"/>
    <w:rsid w:val="00AE09BE"/>
    <w:rsid w:val="00AE5CDB"/>
    <w:rsid w:val="00AE5E15"/>
    <w:rsid w:val="00AE6ED1"/>
    <w:rsid w:val="00B107A1"/>
    <w:rsid w:val="00B17A13"/>
    <w:rsid w:val="00B21CCB"/>
    <w:rsid w:val="00B266F9"/>
    <w:rsid w:val="00B27363"/>
    <w:rsid w:val="00B30F41"/>
    <w:rsid w:val="00B32D12"/>
    <w:rsid w:val="00B45E87"/>
    <w:rsid w:val="00B764EE"/>
    <w:rsid w:val="00B92039"/>
    <w:rsid w:val="00B95195"/>
    <w:rsid w:val="00B964C8"/>
    <w:rsid w:val="00BA3AB4"/>
    <w:rsid w:val="00BA52A6"/>
    <w:rsid w:val="00BA70AB"/>
    <w:rsid w:val="00BB5955"/>
    <w:rsid w:val="00BD5DF3"/>
    <w:rsid w:val="00BF3D59"/>
    <w:rsid w:val="00BF5434"/>
    <w:rsid w:val="00BF5E41"/>
    <w:rsid w:val="00BF6A1B"/>
    <w:rsid w:val="00BF7778"/>
    <w:rsid w:val="00C1487D"/>
    <w:rsid w:val="00C20988"/>
    <w:rsid w:val="00C35A40"/>
    <w:rsid w:val="00C8304C"/>
    <w:rsid w:val="00C864EA"/>
    <w:rsid w:val="00C95F06"/>
    <w:rsid w:val="00C97CF4"/>
    <w:rsid w:val="00CA3781"/>
    <w:rsid w:val="00CC7766"/>
    <w:rsid w:val="00CD1615"/>
    <w:rsid w:val="00CE17FC"/>
    <w:rsid w:val="00CE2879"/>
    <w:rsid w:val="00D01D34"/>
    <w:rsid w:val="00D22C45"/>
    <w:rsid w:val="00D37799"/>
    <w:rsid w:val="00D44AD9"/>
    <w:rsid w:val="00D53A42"/>
    <w:rsid w:val="00D6110C"/>
    <w:rsid w:val="00D72635"/>
    <w:rsid w:val="00D84C34"/>
    <w:rsid w:val="00D87088"/>
    <w:rsid w:val="00DA0E0A"/>
    <w:rsid w:val="00DB2646"/>
    <w:rsid w:val="00DB6004"/>
    <w:rsid w:val="00DC1E4E"/>
    <w:rsid w:val="00DE45A5"/>
    <w:rsid w:val="00DF0B9A"/>
    <w:rsid w:val="00DF2181"/>
    <w:rsid w:val="00E11E14"/>
    <w:rsid w:val="00E3393E"/>
    <w:rsid w:val="00E53E6D"/>
    <w:rsid w:val="00E71DAD"/>
    <w:rsid w:val="00E75752"/>
    <w:rsid w:val="00E80449"/>
    <w:rsid w:val="00EA1686"/>
    <w:rsid w:val="00EB0EF0"/>
    <w:rsid w:val="00EB555E"/>
    <w:rsid w:val="00EC09B7"/>
    <w:rsid w:val="00EC30F7"/>
    <w:rsid w:val="00EE582A"/>
    <w:rsid w:val="00F3169B"/>
    <w:rsid w:val="00F33E2B"/>
    <w:rsid w:val="00F369E6"/>
    <w:rsid w:val="00F437A9"/>
    <w:rsid w:val="00F459DF"/>
    <w:rsid w:val="00F5524E"/>
    <w:rsid w:val="00F55CFB"/>
    <w:rsid w:val="00F704BF"/>
    <w:rsid w:val="00F75996"/>
    <w:rsid w:val="00F76CC9"/>
    <w:rsid w:val="00F77D3E"/>
    <w:rsid w:val="00F8123A"/>
    <w:rsid w:val="00F90FDE"/>
    <w:rsid w:val="00F96EF0"/>
    <w:rsid w:val="00FA0E92"/>
    <w:rsid w:val="00FA1B4D"/>
    <w:rsid w:val="00FB27FC"/>
    <w:rsid w:val="00FB3B48"/>
    <w:rsid w:val="00FC0D88"/>
    <w:rsid w:val="00FC19FC"/>
    <w:rsid w:val="00FC5925"/>
    <w:rsid w:val="00FD1B0C"/>
    <w:rsid w:val="00FE6D41"/>
    <w:rsid w:val="08C5619D"/>
    <w:rsid w:val="0CDC15AD"/>
    <w:rsid w:val="11452E1A"/>
    <w:rsid w:val="1B345294"/>
    <w:rsid w:val="1DCF3006"/>
    <w:rsid w:val="1E1F74E7"/>
    <w:rsid w:val="29BE2A7F"/>
    <w:rsid w:val="2E147D2B"/>
    <w:rsid w:val="2FB514D8"/>
    <w:rsid w:val="30590805"/>
    <w:rsid w:val="3CF22D78"/>
    <w:rsid w:val="3E310669"/>
    <w:rsid w:val="3F4974C9"/>
    <w:rsid w:val="429A077D"/>
    <w:rsid w:val="44FF7FC3"/>
    <w:rsid w:val="49687A49"/>
    <w:rsid w:val="4BED1C05"/>
    <w:rsid w:val="4CA7082D"/>
    <w:rsid w:val="4E6F5DC7"/>
    <w:rsid w:val="51C742BE"/>
    <w:rsid w:val="5558083A"/>
    <w:rsid w:val="577B203D"/>
    <w:rsid w:val="5C3E40CE"/>
    <w:rsid w:val="5C7B4EE5"/>
    <w:rsid w:val="6746747E"/>
    <w:rsid w:val="6FAD0B47"/>
    <w:rsid w:val="74964EB9"/>
    <w:rsid w:val="753259ED"/>
    <w:rsid w:val="78055A26"/>
    <w:rsid w:val="7BAC0295"/>
    <w:rsid w:val="7F3D643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4"/>
    <w:qFormat/>
    <w:uiPriority w:val="99"/>
    <w:pPr>
      <w:shd w:val="clear" w:color="auto" w:fill="FFFFFF"/>
      <w:spacing w:before="120" w:line="533" w:lineRule="exact"/>
      <w:ind w:firstLine="480"/>
      <w:jc w:val="left"/>
    </w:pPr>
    <w:rPr>
      <w:rFonts w:ascii="MingLiU" w:eastAsia="MingLiU" w:cs="MingLiU"/>
      <w:spacing w:val="30"/>
      <w:kern w:val="0"/>
      <w:sz w:val="26"/>
      <w:szCs w:val="26"/>
    </w:rPr>
  </w:style>
  <w:style w:type="paragraph" w:styleId="4">
    <w:name w:val="Body Text Indent"/>
    <w:basedOn w:val="1"/>
    <w:link w:val="25"/>
    <w:qFormat/>
    <w:uiPriority w:val="99"/>
    <w:pPr>
      <w:spacing w:after="120"/>
      <w:ind w:left="420" w:leftChars="200"/>
    </w:pPr>
  </w:style>
  <w:style w:type="paragraph" w:styleId="5">
    <w:name w:val="Plain Text"/>
    <w:basedOn w:val="1"/>
    <w:link w:val="32"/>
    <w:qFormat/>
    <w:uiPriority w:val="0"/>
    <w:rPr>
      <w:rFonts w:ascii="宋体" w:hAnsi="Courier New" w:eastAsiaTheme="minorEastAsia" w:cstheme="minorBidi"/>
      <w:szCs w:val="24"/>
    </w:rPr>
  </w:style>
  <w:style w:type="paragraph" w:styleId="6">
    <w:name w:val="Date"/>
    <w:basedOn w:val="1"/>
    <w:next w:val="1"/>
    <w:link w:val="17"/>
    <w:qFormat/>
    <w:uiPriority w:val="99"/>
    <w:pPr>
      <w:ind w:left="100" w:leftChars="2500"/>
    </w:pPr>
  </w:style>
  <w:style w:type="paragraph" w:styleId="7">
    <w:name w:val="Balloon Text"/>
    <w:basedOn w:val="1"/>
    <w:link w:val="18"/>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locked/>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customStyle="1" w:styleId="16">
    <w:name w:val="标题 1 Char"/>
    <w:basedOn w:val="13"/>
    <w:link w:val="2"/>
    <w:locked/>
    <w:uiPriority w:val="99"/>
    <w:rPr>
      <w:rFonts w:ascii="宋体" w:eastAsia="宋体" w:cs="宋体"/>
      <w:b/>
      <w:bCs/>
      <w:kern w:val="36"/>
      <w:sz w:val="48"/>
      <w:szCs w:val="48"/>
    </w:rPr>
  </w:style>
  <w:style w:type="character" w:customStyle="1" w:styleId="17">
    <w:name w:val="日期 Char"/>
    <w:basedOn w:val="13"/>
    <w:link w:val="6"/>
    <w:semiHidden/>
    <w:locked/>
    <w:uiPriority w:val="99"/>
    <w:rPr>
      <w:rFonts w:cs="Times New Roman"/>
      <w:sz w:val="21"/>
      <w:szCs w:val="21"/>
    </w:rPr>
  </w:style>
  <w:style w:type="character" w:customStyle="1" w:styleId="18">
    <w:name w:val="批注框文本 Char"/>
    <w:basedOn w:val="13"/>
    <w:link w:val="7"/>
    <w:semiHidden/>
    <w:qFormat/>
    <w:locked/>
    <w:uiPriority w:val="99"/>
    <w:rPr>
      <w:rFonts w:cs="Times New Roman"/>
      <w:sz w:val="2"/>
      <w:szCs w:val="2"/>
    </w:rPr>
  </w:style>
  <w:style w:type="character" w:customStyle="1" w:styleId="19">
    <w:name w:val="页眉 Char"/>
    <w:basedOn w:val="13"/>
    <w:link w:val="9"/>
    <w:qFormat/>
    <w:locked/>
    <w:uiPriority w:val="99"/>
    <w:rPr>
      <w:rFonts w:cs="Times New Roman"/>
      <w:kern w:val="2"/>
      <w:sz w:val="18"/>
      <w:szCs w:val="18"/>
    </w:rPr>
  </w:style>
  <w:style w:type="character" w:customStyle="1" w:styleId="20">
    <w:name w:val="页脚 Char"/>
    <w:basedOn w:val="13"/>
    <w:link w:val="8"/>
    <w:qFormat/>
    <w:locked/>
    <w:uiPriority w:val="99"/>
    <w:rPr>
      <w:rFonts w:cs="Times New Roman"/>
      <w:kern w:val="2"/>
      <w:sz w:val="18"/>
      <w:szCs w:val="18"/>
    </w:rPr>
  </w:style>
  <w:style w:type="character" w:customStyle="1" w:styleId="21">
    <w:name w:val="Body Text Char"/>
    <w:qFormat/>
    <w:locked/>
    <w:uiPriority w:val="99"/>
    <w:rPr>
      <w:rFonts w:ascii="MingLiU" w:eastAsia="MingLiU"/>
      <w:spacing w:val="30"/>
      <w:sz w:val="26"/>
      <w:shd w:val="clear" w:color="auto" w:fill="FFFFFF"/>
    </w:rPr>
  </w:style>
  <w:style w:type="character" w:customStyle="1" w:styleId="22">
    <w:name w:val="正文文本 + Arial Narrow"/>
    <w:basedOn w:val="21"/>
    <w:qFormat/>
    <w:uiPriority w:val="99"/>
    <w:rPr>
      <w:rFonts w:ascii="Arial Narrow" w:hAnsi="Arial Narrow" w:cs="Arial Narrow"/>
      <w:spacing w:val="10"/>
      <w:sz w:val="33"/>
      <w:szCs w:val="33"/>
      <w:lang w:val="en-US" w:eastAsia="en-US"/>
    </w:rPr>
  </w:style>
  <w:style w:type="character" w:customStyle="1" w:styleId="23">
    <w:name w:val="Body Text Char1"/>
    <w:basedOn w:val="13"/>
    <w:link w:val="3"/>
    <w:semiHidden/>
    <w:qFormat/>
    <w:locked/>
    <w:uiPriority w:val="99"/>
    <w:rPr>
      <w:rFonts w:cs="Times New Roman"/>
      <w:sz w:val="21"/>
      <w:szCs w:val="21"/>
    </w:rPr>
  </w:style>
  <w:style w:type="character" w:customStyle="1" w:styleId="24">
    <w:name w:val="正文文本 Char"/>
    <w:basedOn w:val="13"/>
    <w:link w:val="3"/>
    <w:qFormat/>
    <w:locked/>
    <w:uiPriority w:val="99"/>
    <w:rPr>
      <w:rFonts w:cs="Times New Roman"/>
      <w:kern w:val="2"/>
      <w:sz w:val="24"/>
      <w:szCs w:val="24"/>
    </w:rPr>
  </w:style>
  <w:style w:type="character" w:customStyle="1" w:styleId="25">
    <w:name w:val="正文文本缩进 Char"/>
    <w:basedOn w:val="13"/>
    <w:link w:val="4"/>
    <w:qFormat/>
    <w:locked/>
    <w:uiPriority w:val="99"/>
    <w:rPr>
      <w:rFonts w:cs="Times New Roman"/>
      <w:kern w:val="2"/>
      <w:sz w:val="24"/>
      <w:szCs w:val="24"/>
    </w:rPr>
  </w:style>
  <w:style w:type="paragraph" w:styleId="26">
    <w:name w:val="List Paragraph"/>
    <w:basedOn w:val="1"/>
    <w:qFormat/>
    <w:uiPriority w:val="99"/>
    <w:pPr>
      <w:ind w:firstLine="420" w:firstLineChars="200"/>
    </w:pPr>
    <w:rPr>
      <w:rFonts w:ascii="Calibri" w:hAnsi="Calibri" w:cs="Calibri"/>
    </w:rPr>
  </w:style>
  <w:style w:type="character" w:customStyle="1" w:styleId="27">
    <w:name w:val="正文文本 + SimSun"/>
    <w:basedOn w:val="13"/>
    <w:qFormat/>
    <w:uiPriority w:val="99"/>
    <w:rPr>
      <w:rFonts w:ascii="宋体" w:hAnsi="宋体" w:eastAsia="宋体" w:cs="宋体"/>
      <w:b/>
      <w:bCs/>
      <w:color w:val="000000"/>
      <w:spacing w:val="0"/>
      <w:w w:val="100"/>
      <w:position w:val="0"/>
      <w:sz w:val="16"/>
      <w:szCs w:val="16"/>
      <w:u w:val="none"/>
      <w:lang w:val="en-US"/>
    </w:rPr>
  </w:style>
  <w:style w:type="paragraph" w:customStyle="1" w:styleId="28">
    <w:name w:val="Char"/>
    <w:basedOn w:val="1"/>
    <w:qFormat/>
    <w:uiPriority w:val="99"/>
    <w:pPr>
      <w:spacing w:line="360" w:lineRule="auto"/>
    </w:pPr>
    <w:rPr>
      <w:rFonts w:ascii="宋体" w:hAnsi="宋体" w:cs="宋体"/>
      <w:b/>
      <w:bCs/>
      <w:sz w:val="28"/>
      <w:szCs w:val="28"/>
    </w:rPr>
  </w:style>
  <w:style w:type="paragraph" w:customStyle="1" w:styleId="29">
    <w:name w:val="msonormal msonormal"/>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30">
    <w:name w:val="apple-converted-space"/>
    <w:basedOn w:val="13"/>
    <w:qFormat/>
    <w:uiPriority w:val="99"/>
    <w:rPr>
      <w:rFonts w:cs="Times New Roman"/>
    </w:rPr>
  </w:style>
  <w:style w:type="paragraph" w:customStyle="1" w:styleId="31">
    <w:name w:val="Char Char Char"/>
    <w:basedOn w:val="1"/>
    <w:qFormat/>
    <w:uiPriority w:val="99"/>
    <w:pPr>
      <w:spacing w:line="360" w:lineRule="auto"/>
    </w:pPr>
  </w:style>
  <w:style w:type="character" w:customStyle="1" w:styleId="32">
    <w:name w:val="纯文本 Char"/>
    <w:basedOn w:val="13"/>
    <w:link w:val="5"/>
    <w:qFormat/>
    <w:uiPriority w:val="0"/>
    <w:rPr>
      <w:rFonts w:ascii="宋体" w:hAnsi="Courier New"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566</Words>
  <Characters>3228</Characters>
  <Lines>26</Lines>
  <Paragraphs>7</Paragraphs>
  <TotalTime>2</TotalTime>
  <ScaleCrop>false</ScaleCrop>
  <LinksUpToDate>false</LinksUpToDate>
  <CharactersWithSpaces>3787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2019-03-27T00:47:00Z</dcterms:created>
  <dc:creator>Lenovo User</dc:creator>
  <cp:lastModifiedBy>权添良</cp:lastModifiedBy>
  <cp:lastPrinted>2018-03-02T02:26:00Z</cp:lastPrinted>
  <dcterms:modified xsi:type="dcterms:W3CDTF">2021-12-08T01:43:35Z</dcterms:modified>
  <dc:title>关于成立党建工作领导小组的通知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